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D006D7">
        <w:rPr>
          <w:rFonts w:ascii="Arial" w:hAnsi="Arial" w:cs="Arial"/>
          <w:b/>
          <w:bCs/>
          <w:sz w:val="24"/>
          <w:szCs w:val="24"/>
        </w:rPr>
        <w:t>bis</w:t>
      </w:r>
      <w:r>
        <w:rPr>
          <w:rFonts w:ascii="Arial" w:hAnsi="Arial" w:cs="Arial"/>
          <w:b/>
          <w:bCs/>
          <w:sz w:val="24"/>
          <w:szCs w:val="24"/>
        </w:rPr>
        <w:tab/>
        <w:t>S2-16</w:t>
      </w:r>
      <w:r w:rsidR="00932116">
        <w:rPr>
          <w:rFonts w:ascii="Arial" w:hAnsi="Arial" w:cs="Arial"/>
          <w:b/>
          <w:bCs/>
          <w:sz w:val="24"/>
          <w:szCs w:val="24"/>
        </w:rPr>
        <w:t>4313</w:t>
      </w:r>
    </w:p>
    <w:p w:rsidR="005D5F52" w:rsidRDefault="00785C9B"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 – 2 Sep 2016</w:t>
      </w:r>
      <w:r w:rsidR="005D5F52">
        <w:rPr>
          <w:rFonts w:ascii="Arial" w:hAnsi="Arial" w:cs="Arial"/>
          <w:b/>
          <w:bCs/>
          <w:sz w:val="24"/>
          <w:szCs w:val="24"/>
        </w:rPr>
        <w:t xml:space="preserve">, </w:t>
      </w:r>
      <w:proofErr w:type="spellStart"/>
      <w:r w:rsidR="005B4DAB">
        <w:rPr>
          <w:rFonts w:ascii="Arial" w:hAnsi="Arial" w:cs="Arial"/>
          <w:b/>
          <w:bCs/>
          <w:sz w:val="24"/>
          <w:szCs w:val="24"/>
        </w:rPr>
        <w:t>Sanya</w:t>
      </w:r>
      <w:proofErr w:type="spellEnd"/>
      <w:r w:rsidR="005D5F52">
        <w:rPr>
          <w:rFonts w:ascii="Arial" w:hAnsi="Arial" w:cs="Arial"/>
          <w:b/>
          <w:bCs/>
          <w:sz w:val="24"/>
          <w:szCs w:val="24"/>
        </w:rPr>
        <w:t xml:space="preserve">, </w:t>
      </w:r>
      <w:r w:rsidR="005B4DAB">
        <w:rPr>
          <w:rFonts w:ascii="Arial" w:hAnsi="Arial" w:cs="Arial"/>
          <w:b/>
          <w:bCs/>
          <w:sz w:val="24"/>
          <w:szCs w:val="24"/>
        </w:rPr>
        <w:t>PRC</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830309">
        <w:rPr>
          <w:rFonts w:ascii="Arial" w:hAnsi="Arial" w:cs="Arial"/>
          <w:b/>
        </w:rPr>
        <w:t>MediaTek Inc.</w:t>
      </w:r>
    </w:p>
    <w:p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830309">
        <w:rPr>
          <w:rFonts w:ascii="Arial" w:hAnsi="Arial" w:cs="Arial"/>
          <w:b/>
        </w:rPr>
        <w:t xml:space="preserve">KI#18 – </w:t>
      </w:r>
      <w:r w:rsidR="00D006D7">
        <w:rPr>
          <w:rFonts w:ascii="Arial" w:hAnsi="Arial" w:cs="Arial"/>
          <w:b/>
        </w:rPr>
        <w:t>Migration Scenarios</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222021">
        <w:rPr>
          <w:rFonts w:ascii="Arial" w:hAnsi="Arial" w:cs="Arial"/>
          <w:b/>
        </w:rPr>
        <w:t>A</w:t>
      </w:r>
      <w:r w:rsidR="00830309">
        <w:rPr>
          <w:rFonts w:ascii="Arial" w:hAnsi="Arial" w:cs="Arial"/>
          <w:b/>
        </w:rPr>
        <w:t>greement</w:t>
      </w:r>
    </w:p>
    <w:p w:rsidR="005D5F52" w:rsidRDefault="005D5F52" w:rsidP="005D5F52">
      <w:pPr>
        <w:ind w:left="2127" w:hanging="2127"/>
        <w:rPr>
          <w:rFonts w:ascii="Arial" w:hAnsi="Arial" w:cs="Arial"/>
          <w:b/>
        </w:rPr>
      </w:pPr>
      <w:r w:rsidRPr="00C67029">
        <w:rPr>
          <w:rFonts w:ascii="Arial" w:hAnsi="Arial" w:cs="Arial"/>
          <w:b/>
        </w:rPr>
        <w:t>Agenda Item:</w:t>
      </w:r>
      <w:r w:rsidRPr="00C67029">
        <w:rPr>
          <w:rFonts w:ascii="Arial" w:hAnsi="Arial" w:cs="Arial"/>
          <w:b/>
        </w:rPr>
        <w:tab/>
        <w:t>6.10</w:t>
      </w:r>
      <w:r w:rsidR="001C0AB4" w:rsidRPr="00C67029">
        <w:rPr>
          <w:rFonts w:ascii="Arial" w:hAnsi="Arial" w:cs="Arial"/>
          <w:b/>
        </w:rPr>
        <w:t>.</w:t>
      </w:r>
      <w:r w:rsidR="00830309" w:rsidRPr="00C67029">
        <w:rPr>
          <w:rFonts w:ascii="Arial" w:hAnsi="Arial" w:cs="Arial"/>
          <w:b/>
        </w:rPr>
        <w:t>18</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 xml:space="preserve">This contribution </w:t>
      </w:r>
      <w:r w:rsidR="007831B4">
        <w:rPr>
          <w:rFonts w:ascii="Arial" w:hAnsi="Arial" w:cs="Arial"/>
          <w:i/>
        </w:rPr>
        <w:t>discusses migration scenarios between EPS and NGS</w:t>
      </w:r>
      <w:r>
        <w:rPr>
          <w:rFonts w:ascii="Arial" w:hAnsi="Arial" w:cs="Arial"/>
          <w:i/>
        </w:rPr>
        <w:t>.</w:t>
      </w:r>
    </w:p>
    <w:p w:rsidR="005D5F52" w:rsidRDefault="005D5F52" w:rsidP="005D5F52">
      <w:pPr>
        <w:pStyle w:val="Heading1"/>
      </w:pPr>
      <w:r>
        <w:t>1</w:t>
      </w:r>
      <w:r>
        <w:tab/>
        <w:t>Introduction</w:t>
      </w:r>
    </w:p>
    <w:p w:rsidR="00B80D4F" w:rsidRDefault="00D006D7" w:rsidP="00BB1F39">
      <w:pPr>
        <w:pStyle w:val="Heading9"/>
        <w:rPr>
          <w:rFonts w:ascii="Times New Roman" w:hAnsi="Times New Roman"/>
          <w:sz w:val="20"/>
          <w:lang w:eastAsia="ja-JP"/>
        </w:rPr>
      </w:pPr>
      <w:bookmarkStart w:id="3" w:name="_Toc453184358"/>
      <w:bookmarkStart w:id="4" w:name="historyclause"/>
      <w:r>
        <w:rPr>
          <w:rFonts w:ascii="Times New Roman" w:hAnsi="Times New Roman"/>
          <w:sz w:val="20"/>
          <w:lang w:eastAsia="ja-JP"/>
        </w:rPr>
        <w:t xml:space="preserve">This document provides MediaTek </w:t>
      </w:r>
      <w:r w:rsidR="00C32A99">
        <w:rPr>
          <w:rFonts w:ascii="Times New Roman" w:hAnsi="Times New Roman"/>
          <w:sz w:val="20"/>
          <w:lang w:eastAsia="ja-JP"/>
        </w:rPr>
        <w:t>understanding</w:t>
      </w:r>
      <w:r>
        <w:rPr>
          <w:rFonts w:ascii="Times New Roman" w:hAnsi="Times New Roman"/>
          <w:sz w:val="20"/>
          <w:lang w:eastAsia="ja-JP"/>
        </w:rPr>
        <w:t xml:space="preserve"> on migration scenarios for NextGen</w:t>
      </w:r>
      <w:r w:rsidR="00BB1F39">
        <w:rPr>
          <w:rFonts w:ascii="Times New Roman" w:hAnsi="Times New Roman"/>
          <w:sz w:val="20"/>
          <w:lang w:eastAsia="ja-JP"/>
        </w:rPr>
        <w:t>/NR</w:t>
      </w:r>
      <w:r>
        <w:rPr>
          <w:rFonts w:ascii="Times New Roman" w:hAnsi="Times New Roman"/>
          <w:sz w:val="20"/>
          <w:lang w:eastAsia="ja-JP"/>
        </w:rPr>
        <w:t xml:space="preserve"> that should be enabled by the 3GPP specifications. </w:t>
      </w:r>
      <w:r w:rsidR="001F5D72">
        <w:rPr>
          <w:rFonts w:ascii="Times New Roman" w:hAnsi="Times New Roman"/>
          <w:sz w:val="20"/>
          <w:lang w:eastAsia="ja-JP"/>
        </w:rPr>
        <w:t xml:space="preserve">Note that </w:t>
      </w:r>
      <w:proofErr w:type="spellStart"/>
      <w:proofErr w:type="gramStart"/>
      <w:r w:rsidR="001F5D72">
        <w:rPr>
          <w:rFonts w:ascii="Times New Roman" w:hAnsi="Times New Roman"/>
          <w:sz w:val="20"/>
          <w:lang w:eastAsia="ja-JP"/>
        </w:rPr>
        <w:t>greenfield</w:t>
      </w:r>
      <w:proofErr w:type="spellEnd"/>
      <w:proofErr w:type="gramEnd"/>
      <w:r w:rsidR="001F5D72">
        <w:rPr>
          <w:rFonts w:ascii="Times New Roman" w:hAnsi="Times New Roman"/>
          <w:sz w:val="20"/>
          <w:lang w:eastAsia="ja-JP"/>
        </w:rPr>
        <w:t xml:space="preserve"> NGS deployments are not addressed in this document but are relevant from a roaming point of view</w:t>
      </w:r>
      <w:r w:rsidR="00B80D4F">
        <w:rPr>
          <w:rFonts w:ascii="Times New Roman" w:hAnsi="Times New Roman"/>
          <w:sz w:val="20"/>
          <w:lang w:eastAsia="ja-JP"/>
        </w:rPr>
        <w:t xml:space="preserve">. </w:t>
      </w:r>
    </w:p>
    <w:p w:rsidR="000668E4" w:rsidRDefault="00D006D7" w:rsidP="000668E4">
      <w:pPr>
        <w:pStyle w:val="Heading9"/>
        <w:rPr>
          <w:rFonts w:ascii="Times New Roman" w:hAnsi="Times New Roman"/>
          <w:sz w:val="20"/>
          <w:lang w:eastAsia="ja-JP"/>
        </w:rPr>
      </w:pPr>
      <w:r>
        <w:rPr>
          <w:rFonts w:ascii="Times New Roman" w:hAnsi="Times New Roman"/>
          <w:sz w:val="20"/>
          <w:lang w:eastAsia="ja-JP"/>
        </w:rPr>
        <w:t xml:space="preserve">It is based on the structure </w:t>
      </w:r>
      <w:r w:rsidR="00BB1F39">
        <w:rPr>
          <w:rFonts w:ascii="Times New Roman" w:hAnsi="Times New Roman"/>
          <w:sz w:val="20"/>
          <w:lang w:eastAsia="ja-JP"/>
        </w:rPr>
        <w:t>documented</w:t>
      </w:r>
      <w:r>
        <w:rPr>
          <w:rFonts w:ascii="Times New Roman" w:hAnsi="Times New Roman"/>
          <w:sz w:val="20"/>
          <w:lang w:eastAsia="ja-JP"/>
        </w:rPr>
        <w:t xml:space="preserve"> in S2-164017</w:t>
      </w:r>
      <w:r w:rsidR="00BB1F39">
        <w:rPr>
          <w:rFonts w:ascii="Times New Roman" w:hAnsi="Times New Roman"/>
          <w:sz w:val="20"/>
          <w:lang w:eastAsia="ja-JP"/>
        </w:rPr>
        <w:t xml:space="preserve"> [1</w:t>
      </w:r>
      <w:r w:rsidR="001F5D72">
        <w:rPr>
          <w:rFonts w:ascii="Times New Roman" w:hAnsi="Times New Roman"/>
          <w:sz w:val="20"/>
          <w:lang w:eastAsia="ja-JP"/>
        </w:rPr>
        <w:t>] and discusses the following points: key migration paths, key roaming scenarios and UE’s forward compatibility. Key migration principles are not discussed here, see [1].</w:t>
      </w:r>
    </w:p>
    <w:p w:rsidR="000668E4" w:rsidRPr="000668E4" w:rsidRDefault="000668E4" w:rsidP="000668E4">
      <w:pPr>
        <w:rPr>
          <w:lang w:eastAsia="ja-JP"/>
        </w:rPr>
      </w:pPr>
    </w:p>
    <w:p w:rsidR="00D006D7" w:rsidRDefault="00BB1F39" w:rsidP="00BB1F39">
      <w:pPr>
        <w:pStyle w:val="Heading1"/>
        <w:rPr>
          <w:lang w:eastAsia="ja-JP"/>
        </w:rPr>
      </w:pPr>
      <w:r>
        <w:rPr>
          <w:lang w:eastAsia="ja-JP"/>
        </w:rPr>
        <w:t>2</w:t>
      </w:r>
      <w:r>
        <w:rPr>
          <w:lang w:eastAsia="ja-JP"/>
        </w:rPr>
        <w:tab/>
        <w:t>Key migration paths</w:t>
      </w:r>
    </w:p>
    <w:p w:rsidR="00434476" w:rsidRPr="00434476" w:rsidRDefault="00434476" w:rsidP="00434476">
      <w:pPr>
        <w:pStyle w:val="Heading2"/>
        <w:rPr>
          <w:lang w:eastAsia="ja-JP"/>
        </w:rPr>
      </w:pPr>
      <w:r>
        <w:rPr>
          <w:lang w:eastAsia="ja-JP"/>
        </w:rPr>
        <w:t>2.1</w:t>
      </w:r>
      <w:r>
        <w:rPr>
          <w:lang w:eastAsia="ja-JP"/>
        </w:rPr>
        <w:tab/>
        <w:t>General</w:t>
      </w:r>
    </w:p>
    <w:p w:rsidR="00BB1F39" w:rsidRDefault="00434476" w:rsidP="00BB1F39">
      <w:pPr>
        <w:rPr>
          <w:lang w:eastAsia="ja-JP"/>
        </w:rPr>
      </w:pPr>
      <w:r>
        <w:rPr>
          <w:lang w:eastAsia="ja-JP"/>
        </w:rPr>
        <w:t xml:space="preserve">In migrating from EPS to </w:t>
      </w:r>
      <w:r w:rsidR="00C32A99">
        <w:rPr>
          <w:lang w:eastAsia="ja-JP"/>
        </w:rPr>
        <w:t>NGS</w:t>
      </w:r>
      <w:r>
        <w:rPr>
          <w:lang w:eastAsia="ja-JP"/>
        </w:rPr>
        <w:t xml:space="preserve">, </w:t>
      </w:r>
      <w:r w:rsidR="0047127A">
        <w:rPr>
          <w:lang w:eastAsia="ja-JP"/>
        </w:rPr>
        <w:t xml:space="preserve">two </w:t>
      </w:r>
      <w:r w:rsidR="005846DE">
        <w:rPr>
          <w:lang w:eastAsia="ja-JP"/>
        </w:rPr>
        <w:t xml:space="preserve">alternative </w:t>
      </w:r>
      <w:r w:rsidR="0047127A">
        <w:rPr>
          <w:lang w:eastAsia="ja-JP"/>
        </w:rPr>
        <w:t>migration paths can be identified</w:t>
      </w:r>
      <w:r>
        <w:rPr>
          <w:lang w:eastAsia="ja-JP"/>
        </w:rPr>
        <w:t xml:space="preserve"> for a PLMN:</w:t>
      </w:r>
    </w:p>
    <w:p w:rsidR="0047127A" w:rsidRDefault="0047127A" w:rsidP="0047127A">
      <w:pPr>
        <w:pStyle w:val="B1"/>
        <w:rPr>
          <w:rFonts w:ascii="Times New Roman" w:hAnsi="Times New Roman"/>
        </w:rPr>
      </w:pPr>
      <w:r>
        <w:rPr>
          <w:rFonts w:ascii="Times New Roman" w:hAnsi="Times New Roman"/>
        </w:rPr>
        <w:t>a)</w:t>
      </w:r>
      <w:r>
        <w:rPr>
          <w:rFonts w:ascii="Times New Roman" w:hAnsi="Times New Roman"/>
        </w:rPr>
        <w:tab/>
        <w:t>Direct: EPS to NGS</w:t>
      </w:r>
    </w:p>
    <w:p w:rsidR="0047127A" w:rsidRDefault="0047127A" w:rsidP="0047127A">
      <w:pPr>
        <w:pStyle w:val="B1"/>
        <w:rPr>
          <w:rFonts w:ascii="Times New Roman" w:hAnsi="Times New Roman"/>
        </w:rPr>
      </w:pPr>
      <w:r>
        <w:rPr>
          <w:rFonts w:ascii="Times New Roman" w:hAnsi="Times New Roman"/>
        </w:rPr>
        <w:t>b)</w:t>
      </w:r>
      <w:r>
        <w:rPr>
          <w:rFonts w:ascii="Times New Roman" w:hAnsi="Times New Roman"/>
        </w:rPr>
        <w:tab/>
        <w:t>Gradual: EPS to EPS+NGS to NGS</w:t>
      </w:r>
    </w:p>
    <w:p w:rsidR="0033277F" w:rsidRDefault="0033277F" w:rsidP="005846DE">
      <w:r>
        <w:t xml:space="preserve">Another dimension to migration is </w:t>
      </w:r>
      <w:r w:rsidR="00FF1282">
        <w:t>to look at radio and core migrations.</w:t>
      </w:r>
    </w:p>
    <w:p w:rsidR="00FF1282" w:rsidRDefault="00FF1282" w:rsidP="005846DE">
      <w:r>
        <w:t>These aspects are discussed in the following sub</w:t>
      </w:r>
      <w:r w:rsidR="00AB7B86">
        <w:t>-</w:t>
      </w:r>
      <w:r>
        <w:t>clauses.</w:t>
      </w:r>
    </w:p>
    <w:p w:rsidR="00434476" w:rsidRDefault="00434476" w:rsidP="00434476">
      <w:pPr>
        <w:pStyle w:val="Heading2"/>
      </w:pPr>
      <w:r>
        <w:t>2.2</w:t>
      </w:r>
      <w:r>
        <w:tab/>
        <w:t>Direct EPS to NGS migration</w:t>
      </w:r>
    </w:p>
    <w:p w:rsidR="005846DE" w:rsidRDefault="00484356" w:rsidP="0047127A">
      <w:r>
        <w:t>This migration path is one where</w:t>
      </w:r>
      <w:r w:rsidR="00434476">
        <w:t xml:space="preserve"> </w:t>
      </w:r>
      <w:r w:rsidR="00CD086B">
        <w:t xml:space="preserve">the </w:t>
      </w:r>
      <w:r w:rsidR="005846DE">
        <w:t xml:space="preserve">deployed RAN infrastructure is </w:t>
      </w:r>
      <w:r w:rsidR="000777FB">
        <w:t xml:space="preserve">first </w:t>
      </w:r>
      <w:r w:rsidR="005846DE">
        <w:t>upgraded</w:t>
      </w:r>
      <w:r w:rsidR="009B59C2">
        <w:t xml:space="preserve"> </w:t>
      </w:r>
      <w:r w:rsidR="005846DE">
        <w:t xml:space="preserve">to </w:t>
      </w:r>
      <w:r w:rsidR="000777FB">
        <w:t xml:space="preserve">provide connectivity to </w:t>
      </w:r>
      <w:proofErr w:type="spellStart"/>
      <w:r w:rsidR="000777FB">
        <w:t>NGCore</w:t>
      </w:r>
      <w:proofErr w:type="spellEnd"/>
      <w:r w:rsidR="000777FB">
        <w:t xml:space="preserve"> and</w:t>
      </w:r>
      <w:r w:rsidR="005F2F7A">
        <w:t>,</w:t>
      </w:r>
      <w:r w:rsidR="000777FB">
        <w:t xml:space="preserve"> when sufficient coverage is provided, the switch is </w:t>
      </w:r>
      <w:r w:rsidR="00520B29">
        <w:t xml:space="preserve">then </w:t>
      </w:r>
      <w:r w:rsidR="000777FB">
        <w:t xml:space="preserve">made effective </w:t>
      </w:r>
      <w:r w:rsidR="00942BC4">
        <w:t>“</w:t>
      </w:r>
      <w:r w:rsidR="000777FB">
        <w:t>overnight</w:t>
      </w:r>
      <w:r w:rsidR="00942BC4">
        <w:t>”</w:t>
      </w:r>
      <w:r w:rsidR="000777FB">
        <w:t>.</w:t>
      </w:r>
    </w:p>
    <w:p w:rsidR="00DE47C0" w:rsidRDefault="005F2F7A" w:rsidP="0047127A">
      <w:r>
        <w:t>Comparable</w:t>
      </w:r>
      <w:r w:rsidR="000777FB">
        <w:t xml:space="preserve"> scenarios have taken place before</w:t>
      </w:r>
      <w:r>
        <w:rPr>
          <w:rStyle w:val="FootnoteReference"/>
        </w:rPr>
        <w:footnoteReference w:id="1"/>
      </w:r>
      <w:r w:rsidR="00CD086B">
        <w:t xml:space="preserve">, </w:t>
      </w:r>
      <w:r w:rsidR="00DE47C0">
        <w:t>such as the s</w:t>
      </w:r>
      <w:r w:rsidR="000777FB">
        <w:t>witch from NMT to GSM in Nordic countries</w:t>
      </w:r>
      <w:r w:rsidR="00DE47C0">
        <w:t xml:space="preserve"> in early 2000s or the s</w:t>
      </w:r>
      <w:r w:rsidR="000777FB">
        <w:t>witch</w:t>
      </w:r>
      <w:r w:rsidR="006F0A57">
        <w:t xml:space="preserve"> from e.g. D-AMPS</w:t>
      </w:r>
      <w:r w:rsidR="000777FB">
        <w:t xml:space="preserve"> to GSM in North America in </w:t>
      </w:r>
      <w:r w:rsidR="00CD086B">
        <w:t xml:space="preserve">early </w:t>
      </w:r>
      <w:r w:rsidR="000777FB">
        <w:t>2000</w:t>
      </w:r>
      <w:r w:rsidR="00CD086B">
        <w:t>s.</w:t>
      </w:r>
      <w:r w:rsidR="00DE47C0">
        <w:t xml:space="preserve"> </w:t>
      </w:r>
      <w:r w:rsidR="007A2FBE">
        <w:t>Some</w:t>
      </w:r>
      <w:r w:rsidR="00CD086B">
        <w:t xml:space="preserve"> common denominator</w:t>
      </w:r>
      <w:r w:rsidR="001B6A55">
        <w:t xml:space="preserve">s </w:t>
      </w:r>
      <w:r w:rsidR="00CD086B">
        <w:t xml:space="preserve">for these scenarios </w:t>
      </w:r>
      <w:r w:rsidR="00D810D1">
        <w:t>are</w:t>
      </w:r>
      <w:r w:rsidR="00DE47C0">
        <w:t>:</w:t>
      </w:r>
    </w:p>
    <w:p w:rsidR="00DE47C0" w:rsidRDefault="00DE47C0" w:rsidP="00DE47C0">
      <w:pPr>
        <w:pStyle w:val="B1"/>
        <w:rPr>
          <w:rFonts w:ascii="Times New Roman" w:hAnsi="Times New Roman"/>
        </w:rPr>
      </w:pPr>
      <w:r>
        <w:rPr>
          <w:rFonts w:ascii="Times New Roman" w:hAnsi="Times New Roman"/>
        </w:rPr>
        <w:t>-</w:t>
      </w:r>
      <w:r>
        <w:rPr>
          <w:rFonts w:ascii="Times New Roman" w:hAnsi="Times New Roman"/>
        </w:rPr>
        <w:tab/>
      </w:r>
      <w:r w:rsidR="00367110">
        <w:rPr>
          <w:rFonts w:ascii="Times New Roman" w:hAnsi="Times New Roman"/>
        </w:rPr>
        <w:t>The</w:t>
      </w:r>
      <w:r w:rsidR="00CD086B" w:rsidRPr="00DE47C0">
        <w:rPr>
          <w:rFonts w:ascii="Times New Roman" w:hAnsi="Times New Roman"/>
        </w:rPr>
        <w:t xml:space="preserve"> decision to switch to a new system by a given deadline – </w:t>
      </w:r>
      <w:r w:rsidR="001B6A55" w:rsidRPr="00DE47C0">
        <w:rPr>
          <w:rFonts w:ascii="Times New Roman" w:hAnsi="Times New Roman"/>
        </w:rPr>
        <w:t xml:space="preserve">then a </w:t>
      </w:r>
      <w:r w:rsidR="00CD086B" w:rsidRPr="00DE47C0">
        <w:rPr>
          <w:rFonts w:ascii="Times New Roman" w:hAnsi="Times New Roman"/>
        </w:rPr>
        <w:t>plan is laid out walking backwards from this date</w:t>
      </w:r>
      <w:r>
        <w:rPr>
          <w:rFonts w:ascii="Times New Roman" w:hAnsi="Times New Roman"/>
        </w:rPr>
        <w:t>;</w:t>
      </w:r>
    </w:p>
    <w:p w:rsidR="00DE47C0" w:rsidRDefault="00DE47C0" w:rsidP="00DE47C0">
      <w:pPr>
        <w:pStyle w:val="B1"/>
        <w:rPr>
          <w:rFonts w:ascii="Times New Roman" w:hAnsi="Times New Roman"/>
        </w:rPr>
      </w:pPr>
      <w:r>
        <w:rPr>
          <w:rFonts w:ascii="Times New Roman" w:hAnsi="Times New Roman"/>
        </w:rPr>
        <w:t>-</w:t>
      </w:r>
      <w:r>
        <w:rPr>
          <w:rFonts w:ascii="Times New Roman" w:hAnsi="Times New Roman"/>
        </w:rPr>
        <w:tab/>
      </w:r>
      <w:r w:rsidR="00367110">
        <w:rPr>
          <w:rFonts w:ascii="Times New Roman" w:hAnsi="Times New Roman"/>
        </w:rPr>
        <w:t>The</w:t>
      </w:r>
      <w:r w:rsidR="001B6A55" w:rsidRPr="00DE47C0">
        <w:rPr>
          <w:rFonts w:ascii="Times New Roman" w:hAnsi="Times New Roman"/>
        </w:rPr>
        <w:t xml:space="preserve"> absence of interworking between the old and the new systems</w:t>
      </w:r>
      <w:r w:rsidR="00D810D1" w:rsidRPr="00DE47C0">
        <w:rPr>
          <w:rFonts w:ascii="Times New Roman" w:hAnsi="Times New Roman"/>
        </w:rPr>
        <w:t xml:space="preserve">; and </w:t>
      </w:r>
    </w:p>
    <w:p w:rsidR="00CD086B" w:rsidRPr="00DE47C0" w:rsidRDefault="00DE47C0" w:rsidP="00DE47C0">
      <w:pPr>
        <w:pStyle w:val="B1"/>
        <w:rPr>
          <w:rFonts w:ascii="Times New Roman" w:hAnsi="Times New Roman"/>
        </w:rPr>
      </w:pPr>
      <w:r>
        <w:rPr>
          <w:rFonts w:ascii="Times New Roman" w:hAnsi="Times New Roman"/>
        </w:rPr>
        <w:t>-</w:t>
      </w:r>
      <w:r>
        <w:rPr>
          <w:rFonts w:ascii="Times New Roman" w:hAnsi="Times New Roman"/>
        </w:rPr>
        <w:tab/>
      </w:r>
      <w:r w:rsidR="00367110">
        <w:rPr>
          <w:rFonts w:ascii="Times New Roman" w:hAnsi="Times New Roman"/>
        </w:rPr>
        <w:t>The</w:t>
      </w:r>
      <w:r w:rsidR="001B6A55" w:rsidRPr="00DE47C0">
        <w:rPr>
          <w:rFonts w:ascii="Times New Roman" w:hAnsi="Times New Roman"/>
        </w:rPr>
        <w:t xml:space="preserve"> significant (disruptive) generation gap between the old and new systems</w:t>
      </w:r>
      <w:r w:rsidR="005F2F7A" w:rsidRPr="00DE47C0">
        <w:rPr>
          <w:rFonts w:ascii="Times New Roman" w:hAnsi="Times New Roman"/>
        </w:rPr>
        <w:t xml:space="preserve"> serving as the primary </w:t>
      </w:r>
      <w:r>
        <w:rPr>
          <w:rFonts w:ascii="Times New Roman" w:hAnsi="Times New Roman"/>
        </w:rPr>
        <w:t>driver of the</w:t>
      </w:r>
      <w:r w:rsidR="005F2F7A" w:rsidRPr="00DE47C0">
        <w:rPr>
          <w:rFonts w:ascii="Times New Roman" w:hAnsi="Times New Roman"/>
        </w:rPr>
        <w:t xml:space="preserve"> migration</w:t>
      </w:r>
      <w:r w:rsidR="001B6A55" w:rsidRPr="00DE47C0">
        <w:rPr>
          <w:rFonts w:ascii="Times New Roman" w:hAnsi="Times New Roman"/>
        </w:rPr>
        <w:t>.</w:t>
      </w:r>
    </w:p>
    <w:p w:rsidR="00B90798" w:rsidRPr="00B90798" w:rsidRDefault="00B90798" w:rsidP="00E72442">
      <w:r>
        <w:lastRenderedPageBreak/>
        <w:t>Such migration removes the need for interworking and service continuity between the old and new. The same is expected for a direct EPS to NGS migration.</w:t>
      </w:r>
    </w:p>
    <w:p w:rsidR="00E72442" w:rsidRDefault="00E72442" w:rsidP="00E72442">
      <w:r w:rsidRPr="00DE47C0">
        <w:rPr>
          <w:b/>
        </w:rPr>
        <w:t>Observation 1:</w:t>
      </w:r>
      <w:r>
        <w:t xml:space="preserve"> </w:t>
      </w:r>
      <w:r w:rsidR="00274C6E">
        <w:t>D</w:t>
      </w:r>
      <w:r>
        <w:t>irect EPS to NGS migration is characterized by the absence of interworking and service continuity between EPS and NGS</w:t>
      </w:r>
      <w:r w:rsidR="000668E4">
        <w:t xml:space="preserve"> at least within </w:t>
      </w:r>
      <w:r w:rsidR="0090717D">
        <w:t>this</w:t>
      </w:r>
      <w:r w:rsidR="000668E4">
        <w:t xml:space="preserve"> PLMN</w:t>
      </w:r>
      <w:r>
        <w:t>.</w:t>
      </w:r>
    </w:p>
    <w:p w:rsidR="0033277F" w:rsidRDefault="002C0B3B" w:rsidP="006F0A57">
      <w:r>
        <w:t xml:space="preserve">Legacy UEs </w:t>
      </w:r>
      <w:r w:rsidR="00CD2C8D">
        <w:t xml:space="preserve">will not </w:t>
      </w:r>
      <w:r>
        <w:t xml:space="preserve">operate in NGS unless E-UTRA and EPS NAS protocols </w:t>
      </w:r>
      <w:r w:rsidR="00CD2C8D">
        <w:t xml:space="preserve">are supported </w:t>
      </w:r>
      <w:r>
        <w:t>in NGS –</w:t>
      </w:r>
      <w:r w:rsidR="00CD2C8D">
        <w:t xml:space="preserve"> </w:t>
      </w:r>
      <w:r>
        <w:t>this is</w:t>
      </w:r>
      <w:r w:rsidR="00CD2C8D">
        <w:t xml:space="preserve"> not</w:t>
      </w:r>
      <w:r>
        <w:t xml:space="preserve"> a valid solution however</w:t>
      </w:r>
      <w:r w:rsidR="00E35122">
        <w:t xml:space="preserve"> (though </w:t>
      </w:r>
      <w:r w:rsidR="008B40B5">
        <w:t xml:space="preserve">EPS NAS support in NGS </w:t>
      </w:r>
      <w:r w:rsidR="00E35122">
        <w:t>was proposed in SA2#116)</w:t>
      </w:r>
      <w:r>
        <w:t xml:space="preserve">, </w:t>
      </w:r>
      <w:r w:rsidR="00CD2C8D">
        <w:t>this would obviously contradict the migration itself</w:t>
      </w:r>
      <w:r>
        <w:t xml:space="preserve">. </w:t>
      </w:r>
    </w:p>
    <w:p w:rsidR="007A2FBE" w:rsidRDefault="007A2FBE" w:rsidP="006F0A57">
      <w:r>
        <w:t>For roaming, the situation is drastically different compared to the two above examples</w:t>
      </w:r>
      <w:r w:rsidR="00520B29">
        <w:t xml:space="preserve">. GSM introduced and enabled global roaming. </w:t>
      </w:r>
      <w:r>
        <w:t xml:space="preserve">LTE (EPS) is in global use, roaming is global and is a given. Two roaming partners may have different migration plans to NGS. Thus, roaming users with legacy UEs would simply not be able to get service from an operator that has operated a direct migration to NGS. </w:t>
      </w:r>
      <w:r w:rsidR="002C0B3B">
        <w:t>As explained above, w</w:t>
      </w:r>
      <w:r>
        <w:t xml:space="preserve">e do not see the support of EPS NAS protocols in NGS </w:t>
      </w:r>
      <w:r w:rsidR="00742C71">
        <w:t>would be</w:t>
      </w:r>
      <w:r>
        <w:t xml:space="preserve"> a valid </w:t>
      </w:r>
      <w:r w:rsidR="00F306DC">
        <w:t>solution</w:t>
      </w:r>
      <w:r w:rsidR="00520B29">
        <w:t>.</w:t>
      </w:r>
    </w:p>
    <w:p w:rsidR="00DE47C0" w:rsidRDefault="00BB07FE" w:rsidP="006F0A57">
      <w:r w:rsidRPr="00BB07FE">
        <w:rPr>
          <w:b/>
        </w:rPr>
        <w:t>Observation 2:</w:t>
      </w:r>
      <w:r>
        <w:t xml:space="preserve"> </w:t>
      </w:r>
      <w:r w:rsidR="00274C6E">
        <w:t>D</w:t>
      </w:r>
      <w:r>
        <w:t xml:space="preserve">irect EPS to NGS migration can prevent </w:t>
      </w:r>
      <w:r w:rsidR="00F306DC">
        <w:t xml:space="preserve">EPS </w:t>
      </w:r>
      <w:r>
        <w:t>roaming between two roaming partners with different migration plans</w:t>
      </w:r>
      <w:r w:rsidR="00E72442">
        <w:t xml:space="preserve">. </w:t>
      </w:r>
    </w:p>
    <w:p w:rsidR="006227E6" w:rsidRDefault="006227E6" w:rsidP="006F0A57">
      <w:r w:rsidRPr="006227E6">
        <w:rPr>
          <w:b/>
        </w:rPr>
        <w:t>Observation 3:</w:t>
      </w:r>
      <w:r>
        <w:t xml:space="preserve"> EPS NAS support in NGS is not a valid option.</w:t>
      </w:r>
    </w:p>
    <w:p w:rsidR="00D55ED5" w:rsidRDefault="00D55ED5" w:rsidP="006F0A57">
      <w:r>
        <w:t xml:space="preserve">Though this migration scenario is not impossible, our view is that it should not be </w:t>
      </w:r>
      <w:r w:rsidR="000E0BB2">
        <w:t>the driving force to design NGS, in view of the other migration path.</w:t>
      </w:r>
      <w:r w:rsidR="00B90798">
        <w:t xml:space="preserve"> Note we do not expect any extra complexity to enable this migration path however.</w:t>
      </w:r>
    </w:p>
    <w:p w:rsidR="00206409" w:rsidRDefault="007C4552" w:rsidP="006F0A57">
      <w:r w:rsidRPr="007C4552">
        <w:rPr>
          <w:b/>
        </w:rPr>
        <w:t>Proposal 1:</w:t>
      </w:r>
      <w:r>
        <w:t xml:space="preserve"> Direct migration from EPS to NGS should be</w:t>
      </w:r>
      <w:r w:rsidR="003F269D">
        <w:t xml:space="preserve"> enabled by 3GPP specifications in Rel-1</w:t>
      </w:r>
      <w:r w:rsidR="00794A52">
        <w:t>5</w:t>
      </w:r>
      <w:r w:rsidR="003F269D">
        <w:t>.</w:t>
      </w:r>
    </w:p>
    <w:p w:rsidR="001B6A55" w:rsidRDefault="00BB07FE" w:rsidP="00BB07FE">
      <w:pPr>
        <w:pStyle w:val="Heading2"/>
      </w:pPr>
      <w:r>
        <w:t>2.3</w:t>
      </w:r>
      <w:r>
        <w:tab/>
        <w:t xml:space="preserve">Gradual EPS to </w:t>
      </w:r>
      <w:r w:rsidR="00D8323C">
        <w:t>EPS+</w:t>
      </w:r>
      <w:r>
        <w:t xml:space="preserve">NGS </w:t>
      </w:r>
      <w:r w:rsidR="00D8323C">
        <w:t xml:space="preserve">to NGS </w:t>
      </w:r>
      <w:r>
        <w:t>migration</w:t>
      </w:r>
    </w:p>
    <w:p w:rsidR="001B6A55" w:rsidRDefault="002760D1" w:rsidP="006F0A57">
      <w:r>
        <w:t xml:space="preserve">This migration path is one where NGS is contemporary to EPS during the migration. </w:t>
      </w:r>
      <w:r w:rsidR="00632E1A">
        <w:t>Gradual</w:t>
      </w:r>
      <w:r w:rsidR="000B3CE0">
        <w:t xml:space="preserve"> migration </w:t>
      </w:r>
      <w:r>
        <w:t>has been typical for MNOs deploying 3GPP technologies</w:t>
      </w:r>
      <w:r w:rsidR="00763405">
        <w:t xml:space="preserve"> so far</w:t>
      </w:r>
      <w:r w:rsidR="005D003E">
        <w:t>, largely due to the huge success hence dependability each generation has created</w:t>
      </w:r>
      <w:r w:rsidR="00632E1A">
        <w:t xml:space="preserve">, resulting in many instances with </w:t>
      </w:r>
      <w:r w:rsidR="006227E6">
        <w:t xml:space="preserve">all three systems </w:t>
      </w:r>
      <w:r w:rsidR="00632E1A">
        <w:t xml:space="preserve">(GSM/UMTS/EPS) </w:t>
      </w:r>
      <w:r w:rsidR="006227E6">
        <w:t xml:space="preserve">coexisting at the same time. </w:t>
      </w:r>
      <w:r w:rsidR="00D55ED5">
        <w:t xml:space="preserve">Interworking and service continuity (possibly selective) </w:t>
      </w:r>
      <w:r w:rsidR="000B3CE0">
        <w:t>are</w:t>
      </w:r>
      <w:r w:rsidR="00D55ED5">
        <w:t xml:space="preserve"> enabled by design between all three systems</w:t>
      </w:r>
      <w:r w:rsidR="00763405">
        <w:t xml:space="preserve"> and </w:t>
      </w:r>
      <w:r w:rsidR="00F306DC">
        <w:t>have been</w:t>
      </w:r>
      <w:r w:rsidR="00763405">
        <w:t xml:space="preserve"> a catalyst to the adoption of the new generation besides </w:t>
      </w:r>
      <w:r w:rsidR="00942BC4">
        <w:t>its</w:t>
      </w:r>
      <w:r w:rsidR="00763405">
        <w:t xml:space="preserve"> capabilities.</w:t>
      </w:r>
    </w:p>
    <w:p w:rsidR="000E0BB2" w:rsidRDefault="00B80D4F" w:rsidP="006F0A57">
      <w:r>
        <w:t xml:space="preserve">It should be understood that interworking and service continuity between EPS and NGS may not always be necessary or possible, but should be enabled by the specifications. For instance, a given vertical industry could be served solely by NGS in one particular area without a need for interworking or service continuity with EPS. </w:t>
      </w:r>
    </w:p>
    <w:p w:rsidR="003F269D" w:rsidRPr="003F269D" w:rsidRDefault="003F269D" w:rsidP="006F0A57">
      <w:r>
        <w:rPr>
          <w:b/>
        </w:rPr>
        <w:t xml:space="preserve">Proposal 2: </w:t>
      </w:r>
      <w:r>
        <w:t>Gradual migration from EPS to EPS+NGS to NGS should be enabled by 3GPP specifications in Rel-1</w:t>
      </w:r>
      <w:r w:rsidR="00794A52">
        <w:t>5</w:t>
      </w:r>
      <w:r>
        <w:t>.</w:t>
      </w:r>
    </w:p>
    <w:p w:rsidR="000E0BB2" w:rsidRPr="007C4552" w:rsidRDefault="000E0BB2" w:rsidP="006F0A57">
      <w:pPr>
        <w:rPr>
          <w:b/>
        </w:rPr>
      </w:pPr>
      <w:r w:rsidRPr="00D55ED5">
        <w:rPr>
          <w:b/>
        </w:rPr>
        <w:t xml:space="preserve">Proposal </w:t>
      </w:r>
      <w:r w:rsidR="003F269D">
        <w:rPr>
          <w:b/>
        </w:rPr>
        <w:t>3</w:t>
      </w:r>
      <w:r w:rsidRPr="00D55ED5">
        <w:rPr>
          <w:b/>
        </w:rPr>
        <w:t>:</w:t>
      </w:r>
      <w:r>
        <w:t xml:space="preserve"> </w:t>
      </w:r>
      <w:r w:rsidR="00274C6E">
        <w:t>I</w:t>
      </w:r>
      <w:r>
        <w:t xml:space="preserve">nterworking and service continuity between EPS and NGS shall be specified, but may not always be required or enabled, depending on deployment scenarios and use cases. </w:t>
      </w:r>
    </w:p>
    <w:p w:rsidR="00B80D4F" w:rsidRDefault="00B80D4F" w:rsidP="006F0A57">
      <w:r>
        <w:t xml:space="preserve">In this scenario, the handling of legacy UEs </w:t>
      </w:r>
      <w:r w:rsidR="0033277F">
        <w:t xml:space="preserve">and of </w:t>
      </w:r>
      <w:r>
        <w:t>roaming EPS users is a non-issue.</w:t>
      </w:r>
    </w:p>
    <w:p w:rsidR="0033277F" w:rsidRDefault="0033277F" w:rsidP="0033277F">
      <w:pPr>
        <w:pStyle w:val="Heading2"/>
      </w:pPr>
      <w:r>
        <w:t>2.4</w:t>
      </w:r>
      <w:r>
        <w:tab/>
        <w:t>Radio and Core migration</w:t>
      </w:r>
      <w:r w:rsidR="00FF1282">
        <w:t>s</w:t>
      </w:r>
    </w:p>
    <w:p w:rsidR="00DB4DB2" w:rsidRDefault="0033277F" w:rsidP="0033277F">
      <w:r>
        <w:t xml:space="preserve">A number of deployment </w:t>
      </w:r>
      <w:r w:rsidR="00DB4DB2">
        <w:t>options</w:t>
      </w:r>
      <w:r>
        <w:t xml:space="preserve"> have been identified at TSG#72 and consolidated during SA2#116. </w:t>
      </w:r>
      <w:r w:rsidR="00E523AE">
        <w:t>An</w:t>
      </w:r>
      <w:r>
        <w:t xml:space="preserve"> important point these scenarios </w:t>
      </w:r>
      <w:r w:rsidR="009A4095">
        <w:t>identify</w:t>
      </w:r>
      <w:r w:rsidR="00FF1282">
        <w:t xml:space="preserve"> is that of independent radio and core migrations</w:t>
      </w:r>
      <w:r w:rsidR="00DB4DB2">
        <w:t xml:space="preserve">, </w:t>
      </w:r>
      <w:r w:rsidR="009A4095">
        <w:t>primarily with</w:t>
      </w:r>
      <w:r w:rsidR="00DB4DB2">
        <w:t>:</w:t>
      </w:r>
    </w:p>
    <w:p w:rsidR="00DB4DB2" w:rsidRDefault="00DB4DB2" w:rsidP="00DB4DB2">
      <w:pPr>
        <w:pStyle w:val="B1"/>
        <w:rPr>
          <w:rFonts w:ascii="Times New Roman" w:hAnsi="Times New Roman"/>
        </w:rPr>
      </w:pPr>
      <w:r w:rsidRPr="00DB4DB2">
        <w:rPr>
          <w:rFonts w:ascii="Times New Roman" w:hAnsi="Times New Roman"/>
        </w:rPr>
        <w:t>-</w:t>
      </w:r>
      <w:r w:rsidRPr="00DB4DB2">
        <w:rPr>
          <w:rFonts w:ascii="Times New Roman" w:hAnsi="Times New Roman"/>
        </w:rPr>
        <w:tab/>
      </w:r>
      <w:r>
        <w:rPr>
          <w:rFonts w:ascii="Times New Roman" w:hAnsi="Times New Roman"/>
        </w:rPr>
        <w:t xml:space="preserve">NR in EPS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DB4DB2">
        <w:rPr>
          <w:rFonts w:ascii="Times New Roman" w:hAnsi="Times New Roman"/>
          <w:i/>
        </w:rPr>
        <w:t>(option 3)</w:t>
      </w:r>
      <w:r w:rsidRPr="00DB4DB2">
        <w:rPr>
          <w:rFonts w:ascii="Times New Roman" w:hAnsi="Times New Roman"/>
          <w:i/>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DB4DB2" w:rsidRPr="00DB4DB2" w:rsidRDefault="00DB4DB2" w:rsidP="00DB4DB2">
      <w:pPr>
        <w:pStyle w:val="B1"/>
        <w:rPr>
          <w:rFonts w:ascii="Times New Roman" w:hAnsi="Times New Roman"/>
          <w:i/>
        </w:rPr>
      </w:pPr>
      <w:r>
        <w:rPr>
          <w:rFonts w:ascii="Times New Roman" w:hAnsi="Times New Roman"/>
        </w:rPr>
        <w:t>-</w:t>
      </w:r>
      <w:r>
        <w:rPr>
          <w:rFonts w:ascii="Times New Roman" w:hAnsi="Times New Roman"/>
        </w:rPr>
        <w:tab/>
        <w:t>E-UTRA in NGS (aka Evolved E-UTRA)</w:t>
      </w:r>
      <w:r>
        <w:rPr>
          <w:rFonts w:ascii="Times New Roman" w:hAnsi="Times New Roman"/>
        </w:rPr>
        <w:tab/>
      </w:r>
      <w:r w:rsidRPr="00DB4DB2">
        <w:rPr>
          <w:rFonts w:ascii="Times New Roman" w:hAnsi="Times New Roman"/>
          <w:i/>
        </w:rPr>
        <w:t>(particularly option</w:t>
      </w:r>
      <w:r w:rsidR="003D206E">
        <w:rPr>
          <w:rFonts w:ascii="Times New Roman" w:hAnsi="Times New Roman"/>
          <w:i/>
        </w:rPr>
        <w:t>s</w:t>
      </w:r>
      <w:r w:rsidRPr="00DB4DB2">
        <w:rPr>
          <w:rFonts w:ascii="Times New Roman" w:hAnsi="Times New Roman"/>
          <w:i/>
        </w:rPr>
        <w:t xml:space="preserve"> 5</w:t>
      </w:r>
      <w:r w:rsidR="00077D4F">
        <w:rPr>
          <w:rFonts w:ascii="Times New Roman" w:hAnsi="Times New Roman"/>
          <w:i/>
        </w:rPr>
        <w:t xml:space="preserve">, but also option </w:t>
      </w:r>
      <w:r w:rsidRPr="00DB4DB2">
        <w:rPr>
          <w:rFonts w:ascii="Times New Roman" w:hAnsi="Times New Roman"/>
          <w:i/>
        </w:rPr>
        <w:t>7)</w:t>
      </w:r>
      <w:r w:rsidR="00077D4F">
        <w:rPr>
          <w:rStyle w:val="FootnoteReference"/>
          <w:rFonts w:ascii="Times New Roman" w:hAnsi="Times New Roman"/>
          <w:i/>
        </w:rPr>
        <w:footnoteReference w:id="2"/>
      </w:r>
    </w:p>
    <w:p w:rsidR="00DB4DB2" w:rsidRDefault="003D206E" w:rsidP="00DB4DB2">
      <w:r w:rsidRPr="003D206E">
        <w:rPr>
          <w:b/>
        </w:rPr>
        <w:t>Observation 4:</w:t>
      </w:r>
      <w:r>
        <w:t xml:space="preserve"> The deployment of </w:t>
      </w:r>
      <w:proofErr w:type="spellStart"/>
      <w:r w:rsidR="00DB4DB2">
        <w:t>NGCore</w:t>
      </w:r>
      <w:proofErr w:type="spellEnd"/>
      <w:r w:rsidR="00DB4DB2">
        <w:t xml:space="preserve"> may not necessarily be accompanied </w:t>
      </w:r>
      <w:r>
        <w:t>by</w:t>
      </w:r>
      <w:r w:rsidR="00DB4DB2">
        <w:t xml:space="preserve"> </w:t>
      </w:r>
      <w:r>
        <w:t xml:space="preserve">the </w:t>
      </w:r>
      <w:r w:rsidR="002F6670">
        <w:t xml:space="preserve">(simultaneous) </w:t>
      </w:r>
      <w:r>
        <w:t xml:space="preserve">deployment of </w:t>
      </w:r>
      <w:r w:rsidR="00DB4DB2">
        <w:t>NR</w:t>
      </w:r>
      <w:r>
        <w:t xml:space="preserve"> and vice-versa.</w:t>
      </w:r>
    </w:p>
    <w:p w:rsidR="004652E6" w:rsidRDefault="004652E6" w:rsidP="00DB4DB2">
      <w:r>
        <w:t>From a system architecture point of view and from SA2 in particular, what matters is not how the radio technology migration takes place (i.e. in which timeframe, with which flavour(s)) but rather how the core network migration may unfold. E.g. between o</w:t>
      </w:r>
      <w:r w:rsidR="00A617B5">
        <w:t>ptions 2</w:t>
      </w:r>
      <w:r>
        <w:t xml:space="preserve"> and </w:t>
      </w:r>
      <w:r w:rsidR="00A617B5">
        <w:t>5</w:t>
      </w:r>
      <w:r>
        <w:t xml:space="preserve"> or between options </w:t>
      </w:r>
      <w:r w:rsidR="00A617B5">
        <w:t>4</w:t>
      </w:r>
      <w:r>
        <w:t xml:space="preserve"> and </w:t>
      </w:r>
      <w:r w:rsidR="00A617B5">
        <w:t>7</w:t>
      </w:r>
      <w:r>
        <w:t xml:space="preserve"> the issue is definitely one of radio aspects, spectrum in </w:t>
      </w:r>
      <w:r>
        <w:lastRenderedPageBreak/>
        <w:t>particular, rather than of system architecture as such.</w:t>
      </w:r>
      <w:r w:rsidR="00A617B5">
        <w:t xml:space="preserve"> However the potential impacts of a particular radio technology migration on core network migration should be understood from an overall system migration point of view.</w:t>
      </w:r>
    </w:p>
    <w:p w:rsidR="00A617B5" w:rsidRDefault="00A617B5" w:rsidP="00DB4DB2">
      <w:r w:rsidRPr="00A617B5">
        <w:rPr>
          <w:b/>
        </w:rPr>
        <w:t>Proposal 4:</w:t>
      </w:r>
      <w:r>
        <w:t xml:space="preserve"> SA2 should focus on core network migration, rather than on the different radio technology options possible with a particular core network deployment</w:t>
      </w:r>
      <w:r w:rsidR="00DB2270">
        <w:t xml:space="preserve">. </w:t>
      </w:r>
    </w:p>
    <w:p w:rsidR="00AB7B86" w:rsidRDefault="00B24F75" w:rsidP="0033277F">
      <w:r>
        <w:t>Radio</w:t>
      </w:r>
      <w:r w:rsidR="0033277F">
        <w:t xml:space="preserve"> capabilities</w:t>
      </w:r>
      <w:r w:rsidR="005E68E0">
        <w:t xml:space="preserve"> </w:t>
      </w:r>
      <w:r w:rsidR="00AB7B86">
        <w:t>or rather</w:t>
      </w:r>
      <w:r>
        <w:t>, data rates</w:t>
      </w:r>
      <w:r w:rsidR="00AB7B86">
        <w:t>,</w:t>
      </w:r>
      <w:r w:rsidR="0033277F">
        <w:t xml:space="preserve"> </w:t>
      </w:r>
      <w:r w:rsidR="00694B3F">
        <w:t>should</w:t>
      </w:r>
      <w:r w:rsidR="004605A9">
        <w:t xml:space="preserve"> be a primary </w:t>
      </w:r>
      <w:r w:rsidR="0033277F">
        <w:t xml:space="preserve">motivation for </w:t>
      </w:r>
      <w:r w:rsidR="0033277F" w:rsidRPr="00B90798">
        <w:rPr>
          <w:i/>
        </w:rPr>
        <w:t>consumers</w:t>
      </w:r>
      <w:r w:rsidR="0033277F">
        <w:t xml:space="preserve"> to adopt the new generation</w:t>
      </w:r>
      <w:r w:rsidR="004605A9">
        <w:t xml:space="preserve"> –</w:t>
      </w:r>
      <w:r w:rsidR="0033277F">
        <w:t xml:space="preserve"> it is unlikely indeed </w:t>
      </w:r>
      <w:r w:rsidR="004605A9">
        <w:t xml:space="preserve">that </w:t>
      </w:r>
      <w:r w:rsidR="0033277F">
        <w:t xml:space="preserve">NG </w:t>
      </w:r>
      <w:r w:rsidR="004605A9">
        <w:t>Core/NAS</w:t>
      </w:r>
      <w:r w:rsidR="0033277F">
        <w:t xml:space="preserve"> </w:t>
      </w:r>
      <w:r w:rsidR="00E90DCD">
        <w:t>would matter</w:t>
      </w:r>
      <w:r w:rsidR="00077D4F">
        <w:t>.</w:t>
      </w:r>
      <w:r w:rsidR="00694B3F">
        <w:t xml:space="preserve"> With respect to </w:t>
      </w:r>
      <w:r w:rsidR="00694B3F" w:rsidRPr="003D01C6">
        <w:rPr>
          <w:i/>
        </w:rPr>
        <w:t>option 3</w:t>
      </w:r>
      <w:r w:rsidR="00694B3F">
        <w:t xml:space="preserve">, </w:t>
      </w:r>
      <w:r w:rsidR="009A4095">
        <w:t xml:space="preserve">questions have been raised whether it would impair the future adoption of </w:t>
      </w:r>
      <w:proofErr w:type="spellStart"/>
      <w:r w:rsidR="009A4095">
        <w:t>NGCore</w:t>
      </w:r>
      <w:proofErr w:type="spellEnd"/>
      <w:r w:rsidR="009A4095">
        <w:t xml:space="preserve">. While we view </w:t>
      </w:r>
      <w:r w:rsidR="009A4095" w:rsidRPr="009A4095">
        <w:rPr>
          <w:i/>
        </w:rPr>
        <w:t>option 3</w:t>
      </w:r>
      <w:r w:rsidR="009A4095">
        <w:t xml:space="preserve"> as a compelling deployment option for some operators especially in early stage of NR, we also recognize full NR capabilities in EPS may not necessarily be desirable. To address this, </w:t>
      </w:r>
      <w:r w:rsidR="00694B3F">
        <w:t xml:space="preserve">NR capabilities in EPS could be truncated </w:t>
      </w:r>
      <w:r w:rsidR="005E68E0">
        <w:t xml:space="preserve">in specifications e.g. at radio level or, </w:t>
      </w:r>
      <w:r w:rsidR="004605A9">
        <w:t>preferably</w:t>
      </w:r>
      <w:r w:rsidR="005E68E0">
        <w:t>, at</w:t>
      </w:r>
      <w:r w:rsidR="00694B3F">
        <w:t xml:space="preserve"> subscription</w:t>
      </w:r>
      <w:r w:rsidR="005E68E0">
        <w:t xml:space="preserve"> level (</w:t>
      </w:r>
      <w:r w:rsidR="00B90798">
        <w:t xml:space="preserve">e.g. </w:t>
      </w:r>
      <w:r w:rsidR="005E68E0">
        <w:t>max AMBR)</w:t>
      </w:r>
      <w:r w:rsidR="00694B3F">
        <w:t>.</w:t>
      </w:r>
      <w:r w:rsidR="009B7317">
        <w:t xml:space="preserve"> A similar question arises with the evolution of LTE a) in EPS and b) in NGS</w:t>
      </w:r>
      <w:r w:rsidR="005E68E0">
        <w:t xml:space="preserve"> i.e. whether the same capabilities should be made available with LTE evolution regardless of the core network</w:t>
      </w:r>
      <w:r w:rsidR="009B7317">
        <w:t xml:space="preserve">. </w:t>
      </w:r>
      <w:r w:rsidR="003D01C6">
        <w:t xml:space="preserve">This is particularly interesting in view of </w:t>
      </w:r>
      <w:r w:rsidR="003D01C6" w:rsidRPr="003D01C6">
        <w:rPr>
          <w:i/>
        </w:rPr>
        <w:t>option 5</w:t>
      </w:r>
      <w:r w:rsidR="003D01C6">
        <w:t>.</w:t>
      </w:r>
      <w:r w:rsidR="00AB7B86">
        <w:t xml:space="preserve"> </w:t>
      </w:r>
      <w:r w:rsidR="000D3920">
        <w:t>Note that radio migration between EPS and NGS is a non-issue for the direct EPS to NGS migration path.</w:t>
      </w:r>
    </w:p>
    <w:p w:rsidR="009A4095" w:rsidRDefault="009A4095" w:rsidP="0033277F">
      <w:r w:rsidRPr="009A4095">
        <w:rPr>
          <w:b/>
        </w:rPr>
        <w:t xml:space="preserve">Proposal </w:t>
      </w:r>
      <w:r w:rsidR="00794A52">
        <w:rPr>
          <w:b/>
        </w:rPr>
        <w:t>5</w:t>
      </w:r>
      <w:r w:rsidRPr="009A4095">
        <w:rPr>
          <w:b/>
        </w:rPr>
        <w:t>:</w:t>
      </w:r>
      <w:r>
        <w:rPr>
          <w:b/>
        </w:rPr>
        <w:t xml:space="preserve"> </w:t>
      </w:r>
      <w:r w:rsidR="00F3191C">
        <w:t>T</w:t>
      </w:r>
      <w:r>
        <w:t>he capabilities of NR in EPS and of E-UTRA</w:t>
      </w:r>
      <w:r w:rsidR="00F3191C">
        <w:t xml:space="preserve"> evolution</w:t>
      </w:r>
      <w:r>
        <w:t xml:space="preserve"> in EPS and in NGS</w:t>
      </w:r>
      <w:r w:rsidR="00F3191C">
        <w:t xml:space="preserve"> should be discussed</w:t>
      </w:r>
      <w:r w:rsidR="00A617B5">
        <w:t xml:space="preserve"> together with RAN groups</w:t>
      </w:r>
      <w:r w:rsidR="00F3191C">
        <w:t>; i</w:t>
      </w:r>
      <w:r>
        <w:t xml:space="preserve">n particular whether or not truncation of capabilities should be </w:t>
      </w:r>
      <w:r w:rsidR="005C4176">
        <w:t xml:space="preserve">introduced </w:t>
      </w:r>
      <w:r w:rsidR="00E90DCD">
        <w:t xml:space="preserve">in EPS </w:t>
      </w:r>
      <w:r w:rsidR="00BB745F">
        <w:t xml:space="preserve">both </w:t>
      </w:r>
      <w:r w:rsidR="005C4176">
        <w:t>f</w:t>
      </w:r>
      <w:r w:rsidR="00843B2C">
        <w:t xml:space="preserve">or NR and </w:t>
      </w:r>
      <w:r w:rsidR="00E90DCD">
        <w:t xml:space="preserve">for </w:t>
      </w:r>
      <w:r w:rsidR="00BB745F">
        <w:t xml:space="preserve">E-UTRA </w:t>
      </w:r>
      <w:r w:rsidR="00F3191C">
        <w:t>evolution</w:t>
      </w:r>
      <w:r w:rsidR="00843B2C">
        <w:t>.</w:t>
      </w:r>
      <w:r>
        <w:t xml:space="preserve"> </w:t>
      </w:r>
    </w:p>
    <w:p w:rsidR="007C4552" w:rsidRDefault="007C4552" w:rsidP="006F0A57"/>
    <w:p w:rsidR="00D81B4F" w:rsidRDefault="00440C44" w:rsidP="00440C44">
      <w:pPr>
        <w:pStyle w:val="Heading1"/>
      </w:pPr>
      <w:r>
        <w:t>3</w:t>
      </w:r>
      <w:r>
        <w:tab/>
        <w:t>Key roaming scenarios</w:t>
      </w:r>
    </w:p>
    <w:p w:rsidR="00763D64" w:rsidRDefault="00763D64" w:rsidP="00440C44">
      <w:r>
        <w:t>The following tables illustrate roaming scenarios taking into account the different deployment options hereby referred to as EPS3, NGS</w:t>
      </w:r>
      <w:r w:rsidR="004820DB">
        <w:t>2, NGS</w:t>
      </w:r>
      <w:r>
        <w:t>4, NGS</w:t>
      </w:r>
      <w:r w:rsidR="000654B0">
        <w:t>5, and NGS7.</w:t>
      </w:r>
      <w:r w:rsidR="00AB422F">
        <w:t xml:space="preserve"> </w:t>
      </w:r>
      <w:r w:rsidR="00C12AA3">
        <w:t>Maximum roaming capabilities are shown in the tables i.e. where a non-standalone dual connectivity option is shown (EPS3, NGS4 or NGS7), the corresponding standalone option is also possible (EPS, NGS2 or NGS5</w:t>
      </w:r>
      <w:r w:rsidR="00CF1EA4">
        <w:t>, respectively</w:t>
      </w:r>
      <w:r w:rsidR="00C12AA3">
        <w:t>).</w:t>
      </w:r>
    </w:p>
    <w:p w:rsidR="000654B0" w:rsidRDefault="000654B0" w:rsidP="000654B0">
      <w:pPr>
        <w:pStyle w:val="TH"/>
      </w:pPr>
      <w:r>
        <w:t>Table 3.1: EPS / EPS 3 roaming</w:t>
      </w:r>
    </w:p>
    <w:tbl>
      <w:tblPr>
        <w:tblStyle w:val="TableGrid"/>
        <w:tblW w:w="0" w:type="auto"/>
        <w:jc w:val="center"/>
        <w:tblLook w:val="04A0"/>
      </w:tblPr>
      <w:tblGrid>
        <w:gridCol w:w="1642"/>
        <w:gridCol w:w="1643"/>
        <w:gridCol w:w="1643"/>
      </w:tblGrid>
      <w:tr w:rsidR="00763D64" w:rsidTr="000654B0">
        <w:trPr>
          <w:jc w:val="center"/>
        </w:trPr>
        <w:tc>
          <w:tcPr>
            <w:tcW w:w="1642" w:type="dxa"/>
          </w:tcPr>
          <w:p w:rsidR="00763D64" w:rsidRDefault="005C462B" w:rsidP="005C462B">
            <w:pPr>
              <w:pStyle w:val="TAH"/>
            </w:pPr>
            <w:r>
              <w:t>HPLMN</w:t>
            </w:r>
            <w:r w:rsidR="00763D64">
              <w:t xml:space="preserve"> \ </w:t>
            </w:r>
            <w:r>
              <w:t>VPLMN</w:t>
            </w:r>
          </w:p>
        </w:tc>
        <w:tc>
          <w:tcPr>
            <w:tcW w:w="1643" w:type="dxa"/>
          </w:tcPr>
          <w:p w:rsidR="00763D64" w:rsidRDefault="00763D64" w:rsidP="00763D64">
            <w:pPr>
              <w:pStyle w:val="TAH"/>
            </w:pPr>
            <w:r>
              <w:t>EPS</w:t>
            </w:r>
          </w:p>
        </w:tc>
        <w:tc>
          <w:tcPr>
            <w:tcW w:w="1643" w:type="dxa"/>
          </w:tcPr>
          <w:p w:rsidR="00763D64" w:rsidRDefault="004820DB" w:rsidP="00763D64">
            <w:pPr>
              <w:pStyle w:val="TAH"/>
            </w:pPr>
            <w:r>
              <w:t>EPS</w:t>
            </w:r>
            <w:r w:rsidR="00763D64">
              <w:t>3</w:t>
            </w:r>
            <w:r w:rsidR="00C12AA3">
              <w:t xml:space="preserve"> (note 1)</w:t>
            </w:r>
          </w:p>
        </w:tc>
      </w:tr>
      <w:tr w:rsidR="00763D64" w:rsidTr="000654B0">
        <w:trPr>
          <w:jc w:val="center"/>
        </w:trPr>
        <w:tc>
          <w:tcPr>
            <w:tcW w:w="1642" w:type="dxa"/>
          </w:tcPr>
          <w:p w:rsidR="00763D64" w:rsidRDefault="00763D64" w:rsidP="00763D64">
            <w:pPr>
              <w:pStyle w:val="TAH"/>
            </w:pPr>
            <w:r>
              <w:t>EPS</w:t>
            </w:r>
          </w:p>
        </w:tc>
        <w:tc>
          <w:tcPr>
            <w:tcW w:w="1643" w:type="dxa"/>
          </w:tcPr>
          <w:p w:rsidR="00763D64" w:rsidRDefault="00763D64" w:rsidP="00763D64">
            <w:pPr>
              <w:pStyle w:val="TAC"/>
            </w:pPr>
            <w:r>
              <w:t>EPS</w:t>
            </w:r>
          </w:p>
        </w:tc>
        <w:tc>
          <w:tcPr>
            <w:tcW w:w="1643" w:type="dxa"/>
          </w:tcPr>
          <w:p w:rsidR="00763D64" w:rsidRDefault="00763D64" w:rsidP="00763D64">
            <w:pPr>
              <w:pStyle w:val="TAC"/>
            </w:pPr>
            <w:r>
              <w:t>EPS</w:t>
            </w:r>
          </w:p>
        </w:tc>
      </w:tr>
      <w:tr w:rsidR="00763D64" w:rsidTr="000654B0">
        <w:trPr>
          <w:jc w:val="center"/>
        </w:trPr>
        <w:tc>
          <w:tcPr>
            <w:tcW w:w="1642" w:type="dxa"/>
          </w:tcPr>
          <w:p w:rsidR="00763D64" w:rsidRDefault="004820DB" w:rsidP="00763D64">
            <w:pPr>
              <w:pStyle w:val="TAH"/>
            </w:pPr>
            <w:r>
              <w:t>EPS</w:t>
            </w:r>
            <w:r w:rsidR="00763D64">
              <w:t>3</w:t>
            </w:r>
          </w:p>
        </w:tc>
        <w:tc>
          <w:tcPr>
            <w:tcW w:w="1643" w:type="dxa"/>
          </w:tcPr>
          <w:p w:rsidR="00763D64" w:rsidRDefault="00763D64" w:rsidP="00763D64">
            <w:pPr>
              <w:pStyle w:val="TAC"/>
            </w:pPr>
            <w:r>
              <w:t>EPS</w:t>
            </w:r>
          </w:p>
        </w:tc>
        <w:tc>
          <w:tcPr>
            <w:tcW w:w="1643" w:type="dxa"/>
          </w:tcPr>
          <w:p w:rsidR="00763D64" w:rsidRDefault="00763D64" w:rsidP="004820DB">
            <w:pPr>
              <w:pStyle w:val="TAC"/>
            </w:pPr>
            <w:r>
              <w:t>EPS3</w:t>
            </w:r>
          </w:p>
        </w:tc>
      </w:tr>
      <w:tr w:rsidR="00C12AA3" w:rsidTr="003952BA">
        <w:trPr>
          <w:jc w:val="center"/>
        </w:trPr>
        <w:tc>
          <w:tcPr>
            <w:tcW w:w="4928" w:type="dxa"/>
            <w:gridSpan w:val="3"/>
          </w:tcPr>
          <w:p w:rsidR="00C12AA3" w:rsidRDefault="00C12AA3" w:rsidP="00C12AA3">
            <w:pPr>
              <w:pStyle w:val="TAN"/>
            </w:pPr>
            <w:r>
              <w:t>NOTE 1:</w:t>
            </w:r>
            <w:r>
              <w:tab/>
              <w:t>A deployment of EPS Option 3 is expected to support EPS</w:t>
            </w:r>
          </w:p>
        </w:tc>
      </w:tr>
    </w:tbl>
    <w:p w:rsidR="00763D64" w:rsidRDefault="00763D64" w:rsidP="00440C44"/>
    <w:p w:rsidR="000654B0" w:rsidRDefault="000654B0" w:rsidP="000654B0">
      <w:pPr>
        <w:pStyle w:val="TH"/>
      </w:pPr>
      <w:r>
        <w:t>Tab</w:t>
      </w:r>
      <w:r w:rsidR="00C12AA3">
        <w:t>le</w:t>
      </w:r>
      <w:r>
        <w:t xml:space="preserve"> 3.2: EPS / NGS and NGS / NGS roaming</w:t>
      </w:r>
    </w:p>
    <w:tbl>
      <w:tblPr>
        <w:tblStyle w:val="TableGrid"/>
        <w:tblW w:w="0" w:type="auto"/>
        <w:tblLook w:val="04A0"/>
      </w:tblPr>
      <w:tblGrid>
        <w:gridCol w:w="1643"/>
        <w:gridCol w:w="1643"/>
        <w:gridCol w:w="1643"/>
        <w:gridCol w:w="1642"/>
        <w:gridCol w:w="1642"/>
        <w:gridCol w:w="1642"/>
      </w:tblGrid>
      <w:tr w:rsidR="00B53064" w:rsidTr="00B53064">
        <w:tc>
          <w:tcPr>
            <w:tcW w:w="1643" w:type="dxa"/>
          </w:tcPr>
          <w:p w:rsidR="00B53064" w:rsidRDefault="005C462B" w:rsidP="00263E2F">
            <w:pPr>
              <w:pStyle w:val="TAH"/>
            </w:pPr>
            <w:r>
              <w:t>HPLMN \ VPLMN</w:t>
            </w:r>
          </w:p>
        </w:tc>
        <w:tc>
          <w:tcPr>
            <w:tcW w:w="1643" w:type="dxa"/>
          </w:tcPr>
          <w:p w:rsidR="00B53064" w:rsidRDefault="00B53064" w:rsidP="004820DB">
            <w:pPr>
              <w:pStyle w:val="TAH"/>
            </w:pPr>
            <w:r>
              <w:t>EPS</w:t>
            </w:r>
            <w:r w:rsidR="00763D64">
              <w:t>(3)</w:t>
            </w:r>
          </w:p>
        </w:tc>
        <w:tc>
          <w:tcPr>
            <w:tcW w:w="1643" w:type="dxa"/>
          </w:tcPr>
          <w:p w:rsidR="00B53064" w:rsidRDefault="00B53064" w:rsidP="004820DB">
            <w:pPr>
              <w:pStyle w:val="TAH"/>
            </w:pPr>
            <w:r>
              <w:t>NGS2</w:t>
            </w:r>
          </w:p>
        </w:tc>
        <w:tc>
          <w:tcPr>
            <w:tcW w:w="1642" w:type="dxa"/>
          </w:tcPr>
          <w:p w:rsidR="00B53064" w:rsidRPr="00263E2F" w:rsidRDefault="00B53064" w:rsidP="004820DB">
            <w:pPr>
              <w:pStyle w:val="TAH"/>
            </w:pPr>
            <w:r>
              <w:t>NGS4</w:t>
            </w:r>
            <w:r w:rsidR="00263E2F">
              <w:t xml:space="preserve"> </w:t>
            </w:r>
            <w:r w:rsidR="00497E2A">
              <w:t>(n</w:t>
            </w:r>
            <w:r w:rsidR="00263E2F">
              <w:t>ote 1)</w:t>
            </w:r>
          </w:p>
        </w:tc>
        <w:tc>
          <w:tcPr>
            <w:tcW w:w="1642" w:type="dxa"/>
          </w:tcPr>
          <w:p w:rsidR="00B53064" w:rsidRDefault="00B53064" w:rsidP="004820DB">
            <w:pPr>
              <w:pStyle w:val="TAH"/>
            </w:pPr>
            <w:r>
              <w:t>NGS5</w:t>
            </w:r>
          </w:p>
        </w:tc>
        <w:tc>
          <w:tcPr>
            <w:tcW w:w="1642" w:type="dxa"/>
          </w:tcPr>
          <w:p w:rsidR="00B53064" w:rsidRDefault="00B53064" w:rsidP="004820DB">
            <w:pPr>
              <w:pStyle w:val="TAH"/>
            </w:pPr>
            <w:r>
              <w:t>NGS7</w:t>
            </w:r>
            <w:r w:rsidR="00263E2F">
              <w:t xml:space="preserve"> (</w:t>
            </w:r>
            <w:r w:rsidR="00497E2A">
              <w:t>n</w:t>
            </w:r>
            <w:r w:rsidR="00263E2F">
              <w:t>ote 2)</w:t>
            </w:r>
          </w:p>
        </w:tc>
      </w:tr>
      <w:tr w:rsidR="00B53064" w:rsidTr="000654B0">
        <w:tc>
          <w:tcPr>
            <w:tcW w:w="1643" w:type="dxa"/>
          </w:tcPr>
          <w:p w:rsidR="00B53064" w:rsidRDefault="004820DB" w:rsidP="00763D64">
            <w:pPr>
              <w:pStyle w:val="TAH"/>
            </w:pPr>
            <w:r>
              <w:t>EPS</w:t>
            </w:r>
            <w:r w:rsidR="00763D64">
              <w:t>(3)</w:t>
            </w:r>
          </w:p>
        </w:tc>
        <w:tc>
          <w:tcPr>
            <w:tcW w:w="1643" w:type="dxa"/>
            <w:shd w:val="clear" w:color="auto" w:fill="auto"/>
          </w:tcPr>
          <w:p w:rsidR="00B53064" w:rsidRDefault="000654B0" w:rsidP="000654B0">
            <w:pPr>
              <w:pStyle w:val="TAC"/>
            </w:pPr>
            <w:r>
              <w:t>See table 3.1</w:t>
            </w:r>
          </w:p>
        </w:tc>
        <w:tc>
          <w:tcPr>
            <w:tcW w:w="1643" w:type="dxa"/>
            <w:shd w:val="clear" w:color="auto" w:fill="auto"/>
          </w:tcPr>
          <w:p w:rsidR="00B53064" w:rsidRDefault="00B53064" w:rsidP="00B53064">
            <w:pPr>
              <w:pStyle w:val="TAC"/>
            </w:pPr>
            <w:r>
              <w:t>N/A</w:t>
            </w:r>
          </w:p>
        </w:tc>
        <w:tc>
          <w:tcPr>
            <w:tcW w:w="1642" w:type="dxa"/>
            <w:shd w:val="clear" w:color="auto" w:fill="auto"/>
          </w:tcPr>
          <w:p w:rsidR="00B53064" w:rsidRDefault="00B53064" w:rsidP="00B53064">
            <w:pPr>
              <w:pStyle w:val="TAC"/>
            </w:pPr>
            <w:r>
              <w:t>N/A</w:t>
            </w:r>
          </w:p>
        </w:tc>
        <w:tc>
          <w:tcPr>
            <w:tcW w:w="1642" w:type="dxa"/>
            <w:shd w:val="clear" w:color="auto" w:fill="auto"/>
          </w:tcPr>
          <w:p w:rsidR="00B53064" w:rsidRDefault="00135538" w:rsidP="00135538">
            <w:pPr>
              <w:pStyle w:val="TAC"/>
            </w:pPr>
            <w:r>
              <w:t>See note 3</w:t>
            </w:r>
          </w:p>
        </w:tc>
        <w:tc>
          <w:tcPr>
            <w:tcW w:w="1642" w:type="dxa"/>
            <w:shd w:val="clear" w:color="auto" w:fill="auto"/>
          </w:tcPr>
          <w:p w:rsidR="00B53064" w:rsidRDefault="00135538" w:rsidP="00135538">
            <w:pPr>
              <w:pStyle w:val="TAC"/>
            </w:pPr>
            <w:r>
              <w:t>See note 3</w:t>
            </w:r>
          </w:p>
        </w:tc>
      </w:tr>
      <w:tr w:rsidR="00B53064" w:rsidTr="000654B0">
        <w:tc>
          <w:tcPr>
            <w:tcW w:w="1643" w:type="dxa"/>
          </w:tcPr>
          <w:p w:rsidR="00B53064" w:rsidRDefault="00B53064" w:rsidP="004820DB">
            <w:pPr>
              <w:pStyle w:val="TAH"/>
            </w:pPr>
            <w:r>
              <w:t>NGS2</w:t>
            </w:r>
          </w:p>
        </w:tc>
        <w:tc>
          <w:tcPr>
            <w:tcW w:w="1643" w:type="dxa"/>
            <w:shd w:val="clear" w:color="auto" w:fill="auto"/>
          </w:tcPr>
          <w:p w:rsidR="00B53064" w:rsidRDefault="00B53064" w:rsidP="00B53064">
            <w:pPr>
              <w:pStyle w:val="TAC"/>
            </w:pPr>
            <w:r>
              <w:t>N/A</w:t>
            </w:r>
          </w:p>
        </w:tc>
        <w:tc>
          <w:tcPr>
            <w:tcW w:w="1643" w:type="dxa"/>
            <w:shd w:val="clear" w:color="auto" w:fill="auto"/>
          </w:tcPr>
          <w:p w:rsidR="00B53064" w:rsidRDefault="00263E2F" w:rsidP="004820DB">
            <w:pPr>
              <w:pStyle w:val="TAC"/>
            </w:pPr>
            <w:r>
              <w:t>NGS2</w:t>
            </w:r>
          </w:p>
        </w:tc>
        <w:tc>
          <w:tcPr>
            <w:tcW w:w="1642" w:type="dxa"/>
            <w:shd w:val="clear" w:color="auto" w:fill="auto"/>
          </w:tcPr>
          <w:p w:rsidR="00B53064" w:rsidRDefault="00263E2F" w:rsidP="00B53064">
            <w:pPr>
              <w:pStyle w:val="TAC"/>
            </w:pPr>
            <w:r>
              <w:t>NGS2</w:t>
            </w:r>
          </w:p>
        </w:tc>
        <w:tc>
          <w:tcPr>
            <w:tcW w:w="1642" w:type="dxa"/>
            <w:shd w:val="clear" w:color="auto" w:fill="auto"/>
          </w:tcPr>
          <w:p w:rsidR="00B53064" w:rsidRDefault="00135538" w:rsidP="00135538">
            <w:pPr>
              <w:pStyle w:val="TAC"/>
            </w:pPr>
            <w:r>
              <w:t>See note 4</w:t>
            </w:r>
          </w:p>
        </w:tc>
        <w:tc>
          <w:tcPr>
            <w:tcW w:w="1642" w:type="dxa"/>
            <w:shd w:val="clear" w:color="auto" w:fill="auto"/>
          </w:tcPr>
          <w:p w:rsidR="00B53064" w:rsidRDefault="00135538" w:rsidP="00135538">
            <w:pPr>
              <w:pStyle w:val="TAC"/>
            </w:pPr>
            <w:r>
              <w:t>See note 4</w:t>
            </w:r>
          </w:p>
        </w:tc>
      </w:tr>
      <w:tr w:rsidR="00B53064" w:rsidTr="000654B0">
        <w:tc>
          <w:tcPr>
            <w:tcW w:w="1643" w:type="dxa"/>
          </w:tcPr>
          <w:p w:rsidR="00B53064" w:rsidRDefault="00B53064" w:rsidP="004820DB">
            <w:pPr>
              <w:pStyle w:val="TAH"/>
            </w:pPr>
            <w:r>
              <w:t>NGS4</w:t>
            </w:r>
          </w:p>
        </w:tc>
        <w:tc>
          <w:tcPr>
            <w:tcW w:w="1643" w:type="dxa"/>
            <w:shd w:val="clear" w:color="auto" w:fill="auto"/>
          </w:tcPr>
          <w:p w:rsidR="00B53064" w:rsidRDefault="00B53064" w:rsidP="00B53064">
            <w:pPr>
              <w:pStyle w:val="TAC"/>
            </w:pPr>
            <w:r>
              <w:t>N/A</w:t>
            </w:r>
          </w:p>
        </w:tc>
        <w:tc>
          <w:tcPr>
            <w:tcW w:w="1643" w:type="dxa"/>
            <w:shd w:val="clear" w:color="auto" w:fill="auto"/>
          </w:tcPr>
          <w:p w:rsidR="00B53064" w:rsidRDefault="00263E2F" w:rsidP="004820DB">
            <w:pPr>
              <w:pStyle w:val="TAC"/>
            </w:pPr>
            <w:r>
              <w:t>NGS</w:t>
            </w:r>
            <w:r w:rsidR="004820DB">
              <w:t>2</w:t>
            </w:r>
          </w:p>
        </w:tc>
        <w:tc>
          <w:tcPr>
            <w:tcW w:w="1642" w:type="dxa"/>
            <w:shd w:val="clear" w:color="auto" w:fill="auto"/>
          </w:tcPr>
          <w:p w:rsidR="00B53064" w:rsidRDefault="00263E2F" w:rsidP="004820DB">
            <w:pPr>
              <w:pStyle w:val="TAC"/>
            </w:pPr>
            <w:r>
              <w:t>NGS4</w:t>
            </w:r>
          </w:p>
        </w:tc>
        <w:tc>
          <w:tcPr>
            <w:tcW w:w="1642" w:type="dxa"/>
            <w:shd w:val="clear" w:color="auto" w:fill="auto"/>
          </w:tcPr>
          <w:p w:rsidR="00B53064" w:rsidRDefault="00135538" w:rsidP="00135538">
            <w:pPr>
              <w:pStyle w:val="TAC"/>
            </w:pPr>
            <w:r>
              <w:t>See note 4</w:t>
            </w:r>
          </w:p>
        </w:tc>
        <w:tc>
          <w:tcPr>
            <w:tcW w:w="1642" w:type="dxa"/>
            <w:shd w:val="clear" w:color="auto" w:fill="auto"/>
          </w:tcPr>
          <w:p w:rsidR="00B53064" w:rsidRDefault="00135538" w:rsidP="00135538">
            <w:pPr>
              <w:pStyle w:val="TAC"/>
            </w:pPr>
            <w:r>
              <w:t>See note 4</w:t>
            </w:r>
          </w:p>
        </w:tc>
      </w:tr>
      <w:tr w:rsidR="00B53064" w:rsidTr="000654B0">
        <w:tc>
          <w:tcPr>
            <w:tcW w:w="1643" w:type="dxa"/>
          </w:tcPr>
          <w:p w:rsidR="00B53064" w:rsidRDefault="00B53064" w:rsidP="00B53064">
            <w:pPr>
              <w:pStyle w:val="TAH"/>
            </w:pPr>
            <w:r>
              <w:t>NGS5</w:t>
            </w:r>
          </w:p>
        </w:tc>
        <w:tc>
          <w:tcPr>
            <w:tcW w:w="1643" w:type="dxa"/>
            <w:shd w:val="clear" w:color="auto" w:fill="auto"/>
          </w:tcPr>
          <w:p w:rsidR="00B53064" w:rsidRDefault="00135538" w:rsidP="00135538">
            <w:pPr>
              <w:pStyle w:val="TAC"/>
            </w:pPr>
            <w:r>
              <w:t>See note 3</w:t>
            </w:r>
          </w:p>
        </w:tc>
        <w:tc>
          <w:tcPr>
            <w:tcW w:w="1643" w:type="dxa"/>
            <w:shd w:val="clear" w:color="auto" w:fill="auto"/>
          </w:tcPr>
          <w:p w:rsidR="00B53064" w:rsidRDefault="00135538" w:rsidP="00135538">
            <w:pPr>
              <w:pStyle w:val="TAC"/>
            </w:pPr>
            <w:r>
              <w:t>See note 4</w:t>
            </w:r>
          </w:p>
        </w:tc>
        <w:tc>
          <w:tcPr>
            <w:tcW w:w="1642" w:type="dxa"/>
            <w:shd w:val="clear" w:color="auto" w:fill="auto"/>
          </w:tcPr>
          <w:p w:rsidR="00B53064" w:rsidRDefault="00135538" w:rsidP="00135538">
            <w:pPr>
              <w:pStyle w:val="TAC"/>
            </w:pPr>
            <w:r>
              <w:t>See note 4</w:t>
            </w:r>
          </w:p>
        </w:tc>
        <w:tc>
          <w:tcPr>
            <w:tcW w:w="1642" w:type="dxa"/>
            <w:shd w:val="clear" w:color="auto" w:fill="auto"/>
          </w:tcPr>
          <w:p w:rsidR="00B53064" w:rsidRDefault="00263E2F" w:rsidP="004820DB">
            <w:pPr>
              <w:pStyle w:val="TAC"/>
            </w:pPr>
            <w:r>
              <w:t>NGS5</w:t>
            </w:r>
          </w:p>
        </w:tc>
        <w:tc>
          <w:tcPr>
            <w:tcW w:w="1642" w:type="dxa"/>
            <w:shd w:val="clear" w:color="auto" w:fill="auto"/>
          </w:tcPr>
          <w:p w:rsidR="00B53064" w:rsidRDefault="00263E2F" w:rsidP="00B53064">
            <w:pPr>
              <w:pStyle w:val="TAC"/>
            </w:pPr>
            <w:r>
              <w:t>NGS5</w:t>
            </w:r>
          </w:p>
        </w:tc>
      </w:tr>
      <w:tr w:rsidR="00B53064" w:rsidTr="000654B0">
        <w:tc>
          <w:tcPr>
            <w:tcW w:w="1643" w:type="dxa"/>
          </w:tcPr>
          <w:p w:rsidR="00B53064" w:rsidRDefault="00B53064" w:rsidP="00B53064">
            <w:pPr>
              <w:pStyle w:val="TAH"/>
            </w:pPr>
            <w:r>
              <w:t>NGS7</w:t>
            </w:r>
          </w:p>
        </w:tc>
        <w:tc>
          <w:tcPr>
            <w:tcW w:w="1643" w:type="dxa"/>
            <w:shd w:val="clear" w:color="auto" w:fill="auto"/>
          </w:tcPr>
          <w:p w:rsidR="00B53064" w:rsidRDefault="00135538" w:rsidP="00135538">
            <w:pPr>
              <w:pStyle w:val="TAC"/>
            </w:pPr>
            <w:r>
              <w:t>See note 3</w:t>
            </w:r>
          </w:p>
        </w:tc>
        <w:tc>
          <w:tcPr>
            <w:tcW w:w="1643" w:type="dxa"/>
            <w:shd w:val="clear" w:color="auto" w:fill="auto"/>
          </w:tcPr>
          <w:p w:rsidR="00B53064" w:rsidRDefault="00135538" w:rsidP="00135538">
            <w:pPr>
              <w:pStyle w:val="TAC"/>
            </w:pPr>
            <w:r>
              <w:t>See note 4</w:t>
            </w:r>
          </w:p>
        </w:tc>
        <w:tc>
          <w:tcPr>
            <w:tcW w:w="1642" w:type="dxa"/>
            <w:shd w:val="clear" w:color="auto" w:fill="auto"/>
          </w:tcPr>
          <w:p w:rsidR="00B53064" w:rsidRDefault="00135538" w:rsidP="00135538">
            <w:pPr>
              <w:pStyle w:val="TAC"/>
            </w:pPr>
            <w:r>
              <w:t>See note 4</w:t>
            </w:r>
          </w:p>
        </w:tc>
        <w:tc>
          <w:tcPr>
            <w:tcW w:w="1642" w:type="dxa"/>
            <w:shd w:val="clear" w:color="auto" w:fill="auto"/>
          </w:tcPr>
          <w:p w:rsidR="00B53064" w:rsidRDefault="004820DB" w:rsidP="00B53064">
            <w:pPr>
              <w:pStyle w:val="TAC"/>
            </w:pPr>
            <w:r>
              <w:t>NGS</w:t>
            </w:r>
            <w:r w:rsidR="00263E2F">
              <w:t>5</w:t>
            </w:r>
          </w:p>
        </w:tc>
        <w:tc>
          <w:tcPr>
            <w:tcW w:w="1642" w:type="dxa"/>
            <w:shd w:val="clear" w:color="auto" w:fill="auto"/>
          </w:tcPr>
          <w:p w:rsidR="00B53064" w:rsidRDefault="004820DB" w:rsidP="00B53064">
            <w:pPr>
              <w:pStyle w:val="TAC"/>
            </w:pPr>
            <w:r>
              <w:t>NGS</w:t>
            </w:r>
            <w:r w:rsidR="00263E2F">
              <w:t>7</w:t>
            </w:r>
          </w:p>
        </w:tc>
      </w:tr>
      <w:tr w:rsidR="00263E2F" w:rsidTr="00135538">
        <w:tc>
          <w:tcPr>
            <w:tcW w:w="9855" w:type="dxa"/>
            <w:gridSpan w:val="6"/>
          </w:tcPr>
          <w:p w:rsidR="00263E2F" w:rsidRDefault="00263E2F" w:rsidP="00263E2F">
            <w:pPr>
              <w:pStyle w:val="TAN"/>
            </w:pPr>
            <w:r>
              <w:t>NOTE 1:</w:t>
            </w:r>
            <w:r>
              <w:tab/>
              <w:t>A deployment of NGS Option 4 is expected to support NGS Option 2</w:t>
            </w:r>
          </w:p>
          <w:p w:rsidR="00263E2F" w:rsidRDefault="00263E2F" w:rsidP="00263E2F">
            <w:pPr>
              <w:pStyle w:val="TAN"/>
            </w:pPr>
            <w:r>
              <w:t xml:space="preserve">NOTE 2: </w:t>
            </w:r>
            <w:r>
              <w:tab/>
              <w:t>A deployment of NGS Option 7 is expected to support NGS Option 5</w:t>
            </w:r>
          </w:p>
          <w:p w:rsidR="007E4504" w:rsidRDefault="007E4504" w:rsidP="00135538">
            <w:pPr>
              <w:pStyle w:val="TAN"/>
            </w:pPr>
            <w:r>
              <w:t>NOTE 3:</w:t>
            </w:r>
            <w:r>
              <w:tab/>
              <w:t>An underlying assumption in the table is that roaming between EPS and NGS is not possible. However should this scenario be enabled (primary difference is EPC vs. NGC) in case a UE support the corresponding deployment options?</w:t>
            </w:r>
          </w:p>
          <w:p w:rsidR="00497E2A" w:rsidRPr="00263E2F" w:rsidRDefault="00497E2A" w:rsidP="00135538">
            <w:pPr>
              <w:pStyle w:val="TAN"/>
            </w:pPr>
            <w:r>
              <w:t xml:space="preserve">NOTE </w:t>
            </w:r>
            <w:r w:rsidR="00135538">
              <w:t>4</w:t>
            </w:r>
            <w:r>
              <w:t xml:space="preserve">: </w:t>
            </w:r>
            <w:r>
              <w:tab/>
            </w:r>
            <w:r w:rsidR="000654B0">
              <w:t>Mismatching radio capabilities</w:t>
            </w:r>
            <w:r w:rsidR="000D60F8">
              <w:t>. Only possible if UE supports the target scenario (or SA equivalent if the target scenario is NSA)</w:t>
            </w:r>
          </w:p>
        </w:tc>
      </w:tr>
    </w:tbl>
    <w:p w:rsidR="00B53064" w:rsidRDefault="00B53064" w:rsidP="00440C44"/>
    <w:p w:rsidR="006A579A" w:rsidRDefault="006A579A" w:rsidP="00440C44">
      <w:r>
        <w:t>When the home PLMN (respectively visited PLMN) support either EPS or NGS and the visited PLMN (respectively home PLMN) support both EPS and NGS, roaming takes place following the home PLMN (respectively visited PLMN) support of either EPS or NGS, as described in the tables above.</w:t>
      </w:r>
    </w:p>
    <w:p w:rsidR="00AB422F" w:rsidRDefault="00AB422F" w:rsidP="00440C44">
      <w:r>
        <w:t xml:space="preserve">When </w:t>
      </w:r>
      <w:r w:rsidR="0088132E">
        <w:t xml:space="preserve">both </w:t>
      </w:r>
      <w:r>
        <w:t xml:space="preserve">home and visited networks support EPS and NGS, </w:t>
      </w:r>
      <w:r w:rsidR="007957E5">
        <w:t>whether to prefer EPS or NGS and based on which criteria</w:t>
      </w:r>
      <w:r w:rsidR="00135538">
        <w:t xml:space="preserve"> should be discussed (n</w:t>
      </w:r>
      <w:r w:rsidR="007957E5">
        <w:t>ote that radio criteria though out of scope of SA2 discussion, are expected to prevail as usual)</w:t>
      </w:r>
      <w:r>
        <w:t xml:space="preserve">. </w:t>
      </w:r>
      <w:r w:rsidR="00C12AA3">
        <w:t>Capabilities described in the above tables apply.</w:t>
      </w:r>
    </w:p>
    <w:p w:rsidR="004A1C09" w:rsidRDefault="004A1C09" w:rsidP="00440C44">
      <w:r w:rsidRPr="004A1C09">
        <w:rPr>
          <w:b/>
        </w:rPr>
        <w:lastRenderedPageBreak/>
        <w:t>Proposal 6:</w:t>
      </w:r>
      <w:r>
        <w:t xml:space="preserve"> Roaming between EPS and NGS is </w:t>
      </w:r>
      <w:r w:rsidR="00C12AA3">
        <w:t xml:space="preserve">assumed </w:t>
      </w:r>
      <w:r>
        <w:t xml:space="preserve">not </w:t>
      </w:r>
      <w:r w:rsidR="00C12AA3">
        <w:t xml:space="preserve">to be </w:t>
      </w:r>
      <w:r>
        <w:t>possible. However</w:t>
      </w:r>
      <w:r w:rsidR="000A7BE3">
        <w:t xml:space="preserve">, </w:t>
      </w:r>
      <w:r>
        <w:t xml:space="preserve">roaming between </w:t>
      </w:r>
      <w:proofErr w:type="gramStart"/>
      <w:r>
        <w:t>EPS(</w:t>
      </w:r>
      <w:proofErr w:type="gramEnd"/>
      <w:r>
        <w:t>3) and NGS5(7), provided the UE supports these deployment options, is FFS.</w:t>
      </w:r>
    </w:p>
    <w:p w:rsidR="0057789C" w:rsidRDefault="0057789C" w:rsidP="00440C44">
      <w:r w:rsidRPr="0057789C">
        <w:rPr>
          <w:b/>
        </w:rPr>
        <w:t xml:space="preserve">Proposal 7: </w:t>
      </w:r>
      <w:r>
        <w:t xml:space="preserve">When both home and visited networks support EPS and NGS, whether to prefer EPS or NGS and based on which criteria should be discussed. </w:t>
      </w:r>
    </w:p>
    <w:p w:rsidR="00440C44" w:rsidRPr="00440C44" w:rsidRDefault="00440C44" w:rsidP="00C12AA3">
      <w:pPr>
        <w:pStyle w:val="Heading1"/>
        <w:pBdr>
          <w:top w:val="single" w:sz="12" w:space="4" w:color="auto"/>
        </w:pBdr>
      </w:pPr>
      <w:r>
        <w:t>4</w:t>
      </w:r>
      <w:r>
        <w:tab/>
        <w:t>UE forward compatibility</w:t>
      </w:r>
    </w:p>
    <w:p w:rsidR="00D81B4F" w:rsidRDefault="00440C44" w:rsidP="006F0A57">
      <w:r>
        <w:t xml:space="preserve">Forward compatibility has been discussed in </w:t>
      </w:r>
      <w:proofErr w:type="gramStart"/>
      <w:r>
        <w:t>RAN</w:t>
      </w:r>
      <w:r w:rsidR="00146D4D">
        <w:t>(</w:t>
      </w:r>
      <w:proofErr w:type="gramEnd"/>
      <w:r w:rsidR="00146D4D">
        <w:t>1)</w:t>
      </w:r>
      <w:r>
        <w:t xml:space="preserve">. This notion is simple: Phase 1 NR should be defined such that Phase 2 NR does not require a redesign of the physical layer. From a UE implementation perspective it translates into </w:t>
      </w:r>
      <w:r w:rsidR="00F736EB">
        <w:t xml:space="preserve">avoiding or </w:t>
      </w:r>
      <w:r>
        <w:t>minimizing hardware changes in Phase 2 vs. Phase 1.</w:t>
      </w:r>
    </w:p>
    <w:p w:rsidR="00440C44" w:rsidRDefault="00440C44" w:rsidP="006F0A57">
      <w:r>
        <w:t xml:space="preserve">We note however that </w:t>
      </w:r>
      <w:r w:rsidR="00113C27">
        <w:t>“</w:t>
      </w:r>
      <w:r w:rsidR="00146D4D">
        <w:t xml:space="preserve">UE </w:t>
      </w:r>
      <w:r>
        <w:t>forward compatibility</w:t>
      </w:r>
      <w:r w:rsidR="00113C27">
        <w:t>”</w:t>
      </w:r>
      <w:r>
        <w:t xml:space="preserve"> is now being used </w:t>
      </w:r>
      <w:r w:rsidR="00146D4D">
        <w:t>with a drastically different implication, namely one of requesting a UE i</w:t>
      </w:r>
      <w:r>
        <w:t xml:space="preserve">mplementing </w:t>
      </w:r>
      <w:r w:rsidR="00994FA0">
        <w:t>NR to support NG Core as well</w:t>
      </w:r>
      <w:r w:rsidR="00146D4D">
        <w:t>. This is not forward compatibility</w:t>
      </w:r>
      <w:r w:rsidR="00794A52">
        <w:t xml:space="preserve"> as such. It is imposing</w:t>
      </w:r>
      <w:r w:rsidR="00146D4D">
        <w:t xml:space="preserve"> additional requirements on an EPS UE </w:t>
      </w:r>
      <w:r w:rsidR="00994FA0">
        <w:t xml:space="preserve">supporting </w:t>
      </w:r>
      <w:r w:rsidR="00994FA0" w:rsidRPr="00794A52">
        <w:rPr>
          <w:i/>
        </w:rPr>
        <w:t>Option 3</w:t>
      </w:r>
      <w:r w:rsidR="00994FA0">
        <w:t xml:space="preserve"> </w:t>
      </w:r>
      <w:r w:rsidR="00146D4D">
        <w:t>to support NGS as well. Such requirement is not acceptable at this stage, esp</w:t>
      </w:r>
      <w:r w:rsidR="00DB442E">
        <w:t>ecially taking into account that radio and core network migrations can be independent as described in §</w:t>
      </w:r>
      <w:r w:rsidR="00994FA0">
        <w:t xml:space="preserve">2.4 and that </w:t>
      </w:r>
      <w:r w:rsidR="00994FA0" w:rsidRPr="00794A52">
        <w:rPr>
          <w:i/>
        </w:rPr>
        <w:t>Option 3</w:t>
      </w:r>
      <w:r w:rsidR="00994FA0">
        <w:t xml:space="preserve"> is intended for early NR deployments.</w:t>
      </w:r>
    </w:p>
    <w:p w:rsidR="00994FA0" w:rsidRDefault="00994FA0" w:rsidP="006F0A57">
      <w:r w:rsidRPr="00994FA0">
        <w:rPr>
          <w:b/>
        </w:rPr>
        <w:t xml:space="preserve">Proposal </w:t>
      </w:r>
      <w:r w:rsidR="0057789C">
        <w:rPr>
          <w:b/>
        </w:rPr>
        <w:t>8</w:t>
      </w:r>
      <w:r w:rsidRPr="00994FA0">
        <w:rPr>
          <w:b/>
        </w:rPr>
        <w:t>:</w:t>
      </w:r>
      <w:r>
        <w:t xml:space="preserve"> </w:t>
      </w:r>
      <w:r w:rsidR="00274C6E">
        <w:t>A</w:t>
      </w:r>
      <w:r>
        <w:t xml:space="preserve"> UE supporting deployment </w:t>
      </w:r>
      <w:r w:rsidR="00794A52" w:rsidRPr="00794A52">
        <w:rPr>
          <w:i/>
        </w:rPr>
        <w:t>O</w:t>
      </w:r>
      <w:r w:rsidRPr="00994FA0">
        <w:rPr>
          <w:i/>
        </w:rPr>
        <w:t>ption 3</w:t>
      </w:r>
      <w:r>
        <w:t xml:space="preserve"> </w:t>
      </w:r>
      <w:r w:rsidR="00DB5B17">
        <w:t>may support NGS as an implementation option</w:t>
      </w:r>
      <w:r>
        <w:t>.</w:t>
      </w:r>
    </w:p>
    <w:p w:rsidR="00C67029" w:rsidRDefault="00C67029" w:rsidP="00794A52">
      <w:pPr>
        <w:pStyle w:val="Heading1"/>
        <w:sectPr w:rsidR="00C67029" w:rsidSect="00B0363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pPr>
    </w:p>
    <w:p w:rsidR="00794A52" w:rsidRDefault="00794A52" w:rsidP="00794A52">
      <w:pPr>
        <w:pStyle w:val="Heading1"/>
      </w:pPr>
      <w:r>
        <w:lastRenderedPageBreak/>
        <w:t>5</w:t>
      </w:r>
      <w:r>
        <w:tab/>
        <w:t>Conclusions</w:t>
      </w:r>
    </w:p>
    <w:p w:rsidR="00794A52" w:rsidRDefault="00794A52" w:rsidP="00794A52">
      <w:r w:rsidRPr="00DE47C0">
        <w:rPr>
          <w:b/>
        </w:rPr>
        <w:t>Observation 1:</w:t>
      </w:r>
      <w:r>
        <w:t xml:space="preserve"> </w:t>
      </w:r>
      <w:r w:rsidR="00274C6E">
        <w:t>D</w:t>
      </w:r>
      <w:r>
        <w:t>irect EPS to NGS migration is characterized by the absence of interworking and service continuity between EPS and NGS.</w:t>
      </w:r>
    </w:p>
    <w:p w:rsidR="00794A52" w:rsidRDefault="00794A52" w:rsidP="00794A52">
      <w:r w:rsidRPr="00BB07FE">
        <w:rPr>
          <w:b/>
        </w:rPr>
        <w:t>Observation 2:</w:t>
      </w:r>
      <w:r>
        <w:t xml:space="preserve"> </w:t>
      </w:r>
      <w:r w:rsidR="00274C6E">
        <w:t>D</w:t>
      </w:r>
      <w:r>
        <w:t xml:space="preserve">irect EPS to NGS migration can prevent EPS roaming between two roaming partners with different migration plans. </w:t>
      </w:r>
    </w:p>
    <w:p w:rsidR="00794A52" w:rsidRDefault="00794A52" w:rsidP="00794A52">
      <w:r w:rsidRPr="006227E6">
        <w:rPr>
          <w:b/>
        </w:rPr>
        <w:t>Observation 3:</w:t>
      </w:r>
      <w:r>
        <w:t xml:space="preserve"> EPS NAS support in NGS is not a valid option.</w:t>
      </w:r>
    </w:p>
    <w:p w:rsidR="00794A52" w:rsidRDefault="00794A52" w:rsidP="00794A52">
      <w:r w:rsidRPr="003D206E">
        <w:rPr>
          <w:b/>
        </w:rPr>
        <w:t>Observation 4:</w:t>
      </w:r>
      <w:r>
        <w:t xml:space="preserve"> The deployment of </w:t>
      </w:r>
      <w:proofErr w:type="spellStart"/>
      <w:r>
        <w:t>NGCore</w:t>
      </w:r>
      <w:proofErr w:type="spellEnd"/>
      <w:r>
        <w:t xml:space="preserve"> may not necessarily be accompanied by the (simultaneous) deployment of NR and vice-versa.</w:t>
      </w:r>
    </w:p>
    <w:p w:rsidR="00C12AA3" w:rsidRDefault="00C12AA3" w:rsidP="00794A52"/>
    <w:p w:rsidR="00C12AA3" w:rsidRDefault="00C12AA3" w:rsidP="00794A52">
      <w:r>
        <w:t>Migration:</w:t>
      </w:r>
    </w:p>
    <w:p w:rsidR="00794A52" w:rsidRDefault="00794A52" w:rsidP="00794A52">
      <w:r w:rsidRPr="007C4552">
        <w:rPr>
          <w:b/>
        </w:rPr>
        <w:t>Proposal 1:</w:t>
      </w:r>
      <w:r>
        <w:t xml:space="preserve"> Direct migration from EPS to NGS should be enabled by 3GPP specifications in Rel-1</w:t>
      </w:r>
      <w:r w:rsidR="00C1033C">
        <w:t>5</w:t>
      </w:r>
      <w:r>
        <w:t>.</w:t>
      </w:r>
    </w:p>
    <w:p w:rsidR="00794A52" w:rsidRPr="003F269D" w:rsidRDefault="00794A52" w:rsidP="00794A52">
      <w:r>
        <w:rPr>
          <w:b/>
        </w:rPr>
        <w:t xml:space="preserve">Proposal 2: </w:t>
      </w:r>
      <w:r>
        <w:t>Gradual migration from EPS to EPS+NGS to NGS should be enabled by 3GPP specifications in Rel-15.</w:t>
      </w:r>
    </w:p>
    <w:p w:rsidR="00794A52" w:rsidRDefault="00794A52" w:rsidP="00794A52">
      <w:r w:rsidRPr="00D55ED5">
        <w:rPr>
          <w:b/>
        </w:rPr>
        <w:t xml:space="preserve">Proposal </w:t>
      </w:r>
      <w:r>
        <w:rPr>
          <w:b/>
        </w:rPr>
        <w:t>3</w:t>
      </w:r>
      <w:r w:rsidRPr="00D55ED5">
        <w:rPr>
          <w:b/>
        </w:rPr>
        <w:t>:</w:t>
      </w:r>
      <w:r>
        <w:t xml:space="preserve"> </w:t>
      </w:r>
      <w:r w:rsidR="00274C6E">
        <w:t>I</w:t>
      </w:r>
      <w:r>
        <w:t>nterworking and service continuity between EPS and NGS shall be specified, but may not always be required or enabled, depending on deployment scenarios and use cases.</w:t>
      </w:r>
    </w:p>
    <w:p w:rsidR="00794A52" w:rsidRDefault="00794A52" w:rsidP="00794A52">
      <w:r w:rsidRPr="00A617B5">
        <w:rPr>
          <w:b/>
        </w:rPr>
        <w:t>Proposal 4:</w:t>
      </w:r>
      <w:r>
        <w:t xml:space="preserve"> SA2 should focus on core network migration, rather than on the different radio technology options possible with a particular core network deployment. </w:t>
      </w:r>
    </w:p>
    <w:bookmarkEnd w:id="3"/>
    <w:bookmarkEnd w:id="4"/>
    <w:p w:rsidR="00C12AA3" w:rsidRDefault="00794A52" w:rsidP="00794A52">
      <w:r w:rsidRPr="009A4095">
        <w:rPr>
          <w:b/>
        </w:rPr>
        <w:t xml:space="preserve">Proposal </w:t>
      </w:r>
      <w:r>
        <w:rPr>
          <w:b/>
        </w:rPr>
        <w:t>5</w:t>
      </w:r>
      <w:r w:rsidRPr="009A4095">
        <w:rPr>
          <w:b/>
        </w:rPr>
        <w:t>:</w:t>
      </w:r>
      <w:r>
        <w:rPr>
          <w:b/>
        </w:rPr>
        <w:t xml:space="preserve"> </w:t>
      </w:r>
      <w:r>
        <w:t>The capabilities of NR in EPS and of E-UTRA evolution in EPS and in NGS should be discussed together with RAN groups; in particular whether or not truncation of capabilities should be introduced in EPS both for NR and for E-UTRA evolution.</w:t>
      </w:r>
    </w:p>
    <w:p w:rsidR="00C12AA3" w:rsidRDefault="00C12AA3" w:rsidP="00794A52"/>
    <w:p w:rsidR="00794A52" w:rsidRDefault="00C12AA3" w:rsidP="00794A52">
      <w:r>
        <w:t>Roaming:</w:t>
      </w:r>
      <w:r w:rsidR="00794A52">
        <w:t xml:space="preserve"> </w:t>
      </w:r>
    </w:p>
    <w:p w:rsidR="000A7BE3" w:rsidRDefault="000A7BE3" w:rsidP="00794A52">
      <w:r w:rsidRPr="004A1C09">
        <w:rPr>
          <w:b/>
        </w:rPr>
        <w:t>Proposal 6:</w:t>
      </w:r>
      <w:r>
        <w:t xml:space="preserve"> Roaming between EPS and NGS is </w:t>
      </w:r>
      <w:r w:rsidR="00C12AA3">
        <w:t xml:space="preserve">assumed </w:t>
      </w:r>
      <w:r>
        <w:t xml:space="preserve">not </w:t>
      </w:r>
      <w:r w:rsidR="00C12AA3">
        <w:t xml:space="preserve">to be </w:t>
      </w:r>
      <w:r>
        <w:t xml:space="preserve">possible. However, roaming between </w:t>
      </w:r>
      <w:proofErr w:type="gramStart"/>
      <w:r>
        <w:t>EPS(</w:t>
      </w:r>
      <w:proofErr w:type="gramEnd"/>
      <w:r>
        <w:t>3) and NGS5(7), provided the UE supports these deployment options, is FFS.</w:t>
      </w:r>
    </w:p>
    <w:p w:rsidR="0057789C" w:rsidRDefault="0057789C" w:rsidP="0057789C">
      <w:r w:rsidRPr="0057789C">
        <w:rPr>
          <w:b/>
        </w:rPr>
        <w:t xml:space="preserve">Proposal 7: </w:t>
      </w:r>
      <w:r>
        <w:t xml:space="preserve">When both home and visited networks support EPS and NGS, whether to prefer EPS or NGS and based on which criteria should be discussed. </w:t>
      </w:r>
    </w:p>
    <w:p w:rsidR="00C12AA3" w:rsidRDefault="00C12AA3" w:rsidP="0057789C"/>
    <w:p w:rsidR="00C12AA3" w:rsidRDefault="00C12AA3" w:rsidP="0057789C">
      <w:r>
        <w:t>UE Forward compatibility:</w:t>
      </w:r>
    </w:p>
    <w:p w:rsidR="00794A52" w:rsidRPr="00794A52" w:rsidRDefault="00794A52" w:rsidP="00794A52">
      <w:r w:rsidRPr="00994FA0">
        <w:rPr>
          <w:b/>
        </w:rPr>
        <w:t xml:space="preserve">Proposal </w:t>
      </w:r>
      <w:r w:rsidR="0057789C">
        <w:rPr>
          <w:b/>
        </w:rPr>
        <w:t>8</w:t>
      </w:r>
      <w:r w:rsidRPr="00994FA0">
        <w:rPr>
          <w:b/>
        </w:rPr>
        <w:t>:</w:t>
      </w:r>
      <w:r>
        <w:t xml:space="preserve"> </w:t>
      </w:r>
      <w:r w:rsidR="00274C6E">
        <w:t>A</w:t>
      </w:r>
      <w:r>
        <w:t xml:space="preserve"> UE supporting deployment </w:t>
      </w:r>
      <w:r w:rsidRPr="00794A52">
        <w:rPr>
          <w:i/>
        </w:rPr>
        <w:t>O</w:t>
      </w:r>
      <w:r w:rsidRPr="00994FA0">
        <w:rPr>
          <w:i/>
        </w:rPr>
        <w:t>ption 3</w:t>
      </w:r>
      <w:r>
        <w:t xml:space="preserve"> may support NGS as an implementation option.</w:t>
      </w:r>
    </w:p>
    <w:sectPr w:rsidR="00794A52" w:rsidRPr="00794A52" w:rsidSect="00B0363B">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F971A" w15:done="0"/>
  <w15:commentEx w15:paraId="4F362AD8" w15:done="0"/>
  <w15:commentEx w15:paraId="4DFE48BC" w15:done="0"/>
  <w15:commentEx w15:paraId="3E4AB818" w15:done="0"/>
  <w15:commentEx w15:paraId="51588EF5" w15:done="0"/>
  <w15:commentEx w15:paraId="443D4502" w15:done="0"/>
  <w15:commentEx w15:paraId="33A92CC4" w15:done="0"/>
  <w15:commentEx w15:paraId="65B730A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538" w:rsidRDefault="00135538">
      <w:r>
        <w:separator/>
      </w:r>
    </w:p>
  </w:endnote>
  <w:endnote w:type="continuationSeparator" w:id="0">
    <w:p w:rsidR="00135538" w:rsidRDefault="00135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38" w:rsidRDefault="0002539A" w:rsidP="00747190">
    <w:pPr>
      <w:pStyle w:val="Footer"/>
      <w:framePr w:wrap="around" w:vAnchor="text" w:hAnchor="margin" w:xAlign="center" w:y="1"/>
      <w:rPr>
        <w:rStyle w:val="PageNumber"/>
      </w:rPr>
    </w:pPr>
    <w:r>
      <w:rPr>
        <w:rStyle w:val="PageNumber"/>
      </w:rPr>
      <w:fldChar w:fldCharType="begin"/>
    </w:r>
    <w:r w:rsidR="00135538">
      <w:rPr>
        <w:rStyle w:val="PageNumber"/>
      </w:rPr>
      <w:instrText xml:space="preserve">PAGE  </w:instrText>
    </w:r>
    <w:r>
      <w:rPr>
        <w:rStyle w:val="PageNumber"/>
      </w:rPr>
      <w:fldChar w:fldCharType="end"/>
    </w:r>
  </w:p>
  <w:p w:rsidR="00135538" w:rsidRDefault="001355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38" w:rsidRDefault="0002539A" w:rsidP="00747190">
    <w:pPr>
      <w:pStyle w:val="Footer"/>
      <w:framePr w:wrap="around" w:vAnchor="text" w:hAnchor="margin" w:xAlign="center" w:y="1"/>
      <w:rPr>
        <w:rStyle w:val="PageNumber"/>
      </w:rPr>
    </w:pPr>
    <w:r>
      <w:rPr>
        <w:rStyle w:val="PageNumber"/>
      </w:rPr>
      <w:fldChar w:fldCharType="begin"/>
    </w:r>
    <w:r w:rsidR="00135538">
      <w:rPr>
        <w:rStyle w:val="PageNumber"/>
      </w:rPr>
      <w:instrText xml:space="preserve">PAGE  </w:instrText>
    </w:r>
    <w:r>
      <w:rPr>
        <w:rStyle w:val="PageNumber"/>
      </w:rPr>
      <w:fldChar w:fldCharType="separate"/>
    </w:r>
    <w:r w:rsidR="00C67029">
      <w:rPr>
        <w:rStyle w:val="PageNumber"/>
      </w:rPr>
      <w:t>4</w:t>
    </w:r>
    <w:r>
      <w:rPr>
        <w:rStyle w:val="PageNumber"/>
      </w:rPr>
      <w:fldChar w:fldCharType="end"/>
    </w:r>
  </w:p>
  <w:p w:rsidR="00135538" w:rsidRDefault="001355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538" w:rsidRDefault="00135538">
      <w:r>
        <w:separator/>
      </w:r>
    </w:p>
  </w:footnote>
  <w:footnote w:type="continuationSeparator" w:id="0">
    <w:p w:rsidR="00135538" w:rsidRDefault="00135538">
      <w:r>
        <w:continuationSeparator/>
      </w:r>
    </w:p>
  </w:footnote>
  <w:footnote w:id="1">
    <w:p w:rsidR="00135538" w:rsidRPr="00543F11" w:rsidRDefault="00135538">
      <w:pPr>
        <w:pStyle w:val="FootnoteText"/>
        <w:rPr>
          <w:lang w:val="en-US"/>
        </w:rPr>
      </w:pPr>
      <w:r>
        <w:rPr>
          <w:rStyle w:val="FootnoteReference"/>
        </w:rPr>
        <w:footnoteRef/>
      </w:r>
      <w:r>
        <w:t xml:space="preserve"> </w:t>
      </w:r>
      <w:r w:rsidRPr="00543F11">
        <w:rPr>
          <w:lang w:val="en-US"/>
        </w:rPr>
        <w:t>Even if in these examples a tota</w:t>
      </w:r>
      <w:r>
        <w:rPr>
          <w:lang w:val="en-US"/>
        </w:rPr>
        <w:t>lly new system is deployed, not relying on upgrading old equipments</w:t>
      </w:r>
    </w:p>
  </w:footnote>
  <w:footnote w:id="2">
    <w:p w:rsidR="00135538" w:rsidRPr="00077D4F" w:rsidRDefault="00135538">
      <w:pPr>
        <w:pStyle w:val="FootnoteText"/>
        <w:rPr>
          <w:lang w:val="en-US"/>
        </w:rPr>
      </w:pPr>
      <w:r>
        <w:rPr>
          <w:rStyle w:val="FootnoteReference"/>
        </w:rPr>
        <w:footnoteRef/>
      </w:r>
      <w:r>
        <w:t xml:space="preserve"> </w:t>
      </w:r>
      <w:r>
        <w:tab/>
      </w:r>
      <w:r w:rsidRPr="00077D4F">
        <w:rPr>
          <w:lang w:val="en-US"/>
        </w:rPr>
        <w:t>Option 3</w:t>
      </w:r>
      <w:r w:rsidR="00B90798">
        <w:rPr>
          <w:lang w:val="en-US"/>
        </w:rPr>
        <w:t xml:space="preserve"> (EPS3)</w:t>
      </w:r>
      <w:r w:rsidRPr="00077D4F">
        <w:rPr>
          <w:lang w:val="en-US"/>
        </w:rPr>
        <w:t>: N</w:t>
      </w:r>
      <w:r>
        <w:rPr>
          <w:lang w:val="en-US"/>
        </w:rPr>
        <w:t>on standalone</w:t>
      </w:r>
      <w:r w:rsidRPr="00077D4F">
        <w:rPr>
          <w:lang w:val="en-US"/>
        </w:rPr>
        <w:t xml:space="preserve"> NR in EPS / Option 5</w:t>
      </w:r>
      <w:r w:rsidR="00B90798">
        <w:rPr>
          <w:lang w:val="en-US"/>
        </w:rPr>
        <w:t xml:space="preserve"> (NGS5)</w:t>
      </w:r>
      <w:r w:rsidRPr="00077D4F">
        <w:rPr>
          <w:lang w:val="en-US"/>
        </w:rPr>
        <w:t>: S</w:t>
      </w:r>
      <w:r>
        <w:rPr>
          <w:lang w:val="en-US"/>
        </w:rPr>
        <w:t>tandalone</w:t>
      </w:r>
      <w:r w:rsidRPr="00077D4F">
        <w:rPr>
          <w:lang w:val="en-US"/>
        </w:rPr>
        <w:t xml:space="preserve"> </w:t>
      </w:r>
      <w:r>
        <w:rPr>
          <w:lang w:val="en-US"/>
        </w:rPr>
        <w:t>Evolved E-UTRA</w:t>
      </w:r>
      <w:r w:rsidRPr="00077D4F">
        <w:rPr>
          <w:lang w:val="en-US"/>
        </w:rPr>
        <w:t>/ Option 7</w:t>
      </w:r>
      <w:r w:rsidR="00B90798">
        <w:rPr>
          <w:lang w:val="en-US"/>
        </w:rPr>
        <w:t xml:space="preserve"> (NGS7)</w:t>
      </w:r>
      <w:r w:rsidRPr="00077D4F">
        <w:rPr>
          <w:lang w:val="en-US"/>
        </w:rPr>
        <w:t>: N</w:t>
      </w:r>
      <w:r>
        <w:rPr>
          <w:lang w:val="en-US"/>
        </w:rPr>
        <w:t>on standalone NR in NG</w:t>
      </w:r>
      <w:r>
        <w:rPr>
          <w:lang w:val="en-US"/>
        </w:rPr>
        <w:br/>
        <w:t>Option 2</w:t>
      </w:r>
      <w:r w:rsidR="00B90798">
        <w:rPr>
          <w:lang w:val="en-US"/>
        </w:rPr>
        <w:t xml:space="preserve"> (NGS2)</w:t>
      </w:r>
      <w:r>
        <w:rPr>
          <w:lang w:val="en-US"/>
        </w:rPr>
        <w:t>: Standalone NR in NGS / Option 4</w:t>
      </w:r>
      <w:r w:rsidR="00B90798">
        <w:rPr>
          <w:lang w:val="en-US"/>
        </w:rPr>
        <w:t xml:space="preserve"> (NGS4)</w:t>
      </w:r>
      <w:r>
        <w:rPr>
          <w:lang w:val="en-US"/>
        </w:rPr>
        <w:t>: Non standalone Evolved E-UTRA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538" w:rsidRDefault="00135538">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5">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2"/>
  </w:num>
  <w:num w:numId="5">
    <w:abstractNumId w:val="23"/>
  </w:num>
  <w:num w:numId="6">
    <w:abstractNumId w:val="6"/>
  </w:num>
  <w:num w:numId="7">
    <w:abstractNumId w:val="22"/>
  </w:num>
  <w:num w:numId="8">
    <w:abstractNumId w:val="19"/>
  </w:num>
  <w:num w:numId="9">
    <w:abstractNumId w:val="18"/>
  </w:num>
  <w:num w:numId="10">
    <w:abstractNumId w:val="10"/>
  </w:num>
  <w:num w:numId="11">
    <w:abstractNumId w:val="24"/>
  </w:num>
  <w:num w:numId="12">
    <w:abstractNumId w:val="2"/>
  </w:num>
  <w:num w:numId="13">
    <w:abstractNumId w:val="9"/>
  </w:num>
  <w:num w:numId="14">
    <w:abstractNumId w:val="20"/>
  </w:num>
  <w:num w:numId="15">
    <w:abstractNumId w:val="17"/>
  </w:num>
  <w:num w:numId="16">
    <w:abstractNumId w:val="3"/>
  </w:num>
  <w:num w:numId="17">
    <w:abstractNumId w:val="11"/>
  </w:num>
  <w:num w:numId="18">
    <w:abstractNumId w:val="8"/>
  </w:num>
  <w:num w:numId="19">
    <w:abstractNumId w:val="14"/>
  </w:num>
  <w:num w:numId="20">
    <w:abstractNumId w:val="15"/>
  </w:num>
  <w:num w:numId="21">
    <w:abstractNumId w:val="1"/>
  </w:num>
  <w:num w:numId="22">
    <w:abstractNumId w:val="5"/>
  </w:num>
  <w:num w:numId="23">
    <w:abstractNumId w:val="0"/>
  </w:num>
  <w:num w:numId="24">
    <w:abstractNumId w:val="4"/>
  </w:num>
  <w:num w:numId="25">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45BC"/>
    <w:rsid w:val="0000526E"/>
    <w:rsid w:val="0000585D"/>
    <w:rsid w:val="00006722"/>
    <w:rsid w:val="00006D48"/>
    <w:rsid w:val="0000746F"/>
    <w:rsid w:val="00011965"/>
    <w:rsid w:val="00011C81"/>
    <w:rsid w:val="000121D8"/>
    <w:rsid w:val="00013589"/>
    <w:rsid w:val="00013B09"/>
    <w:rsid w:val="00013E09"/>
    <w:rsid w:val="00014B3D"/>
    <w:rsid w:val="00015391"/>
    <w:rsid w:val="000153BC"/>
    <w:rsid w:val="0001581A"/>
    <w:rsid w:val="00015C84"/>
    <w:rsid w:val="00016CB8"/>
    <w:rsid w:val="00017AD0"/>
    <w:rsid w:val="000202F8"/>
    <w:rsid w:val="00020A67"/>
    <w:rsid w:val="00021B75"/>
    <w:rsid w:val="0002248D"/>
    <w:rsid w:val="0002295B"/>
    <w:rsid w:val="000233EB"/>
    <w:rsid w:val="0002539A"/>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4F8"/>
    <w:rsid w:val="00050882"/>
    <w:rsid w:val="00052B2C"/>
    <w:rsid w:val="000555B2"/>
    <w:rsid w:val="00056CBF"/>
    <w:rsid w:val="00061D2B"/>
    <w:rsid w:val="00061D63"/>
    <w:rsid w:val="00063B2C"/>
    <w:rsid w:val="000648E4"/>
    <w:rsid w:val="000654B0"/>
    <w:rsid w:val="00065827"/>
    <w:rsid w:val="00066137"/>
    <w:rsid w:val="000668E4"/>
    <w:rsid w:val="00066D63"/>
    <w:rsid w:val="000704F5"/>
    <w:rsid w:val="000706D0"/>
    <w:rsid w:val="00070FEF"/>
    <w:rsid w:val="000711D0"/>
    <w:rsid w:val="00071866"/>
    <w:rsid w:val="00071B25"/>
    <w:rsid w:val="00073CD4"/>
    <w:rsid w:val="00076C4C"/>
    <w:rsid w:val="00077440"/>
    <w:rsid w:val="000777FB"/>
    <w:rsid w:val="00077D4F"/>
    <w:rsid w:val="0008050D"/>
    <w:rsid w:val="00080E86"/>
    <w:rsid w:val="00081AFC"/>
    <w:rsid w:val="0008389D"/>
    <w:rsid w:val="000856C5"/>
    <w:rsid w:val="000858D6"/>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A7BE3"/>
    <w:rsid w:val="000B0254"/>
    <w:rsid w:val="000B0477"/>
    <w:rsid w:val="000B0787"/>
    <w:rsid w:val="000B21A5"/>
    <w:rsid w:val="000B3CE0"/>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920"/>
    <w:rsid w:val="000D3D41"/>
    <w:rsid w:val="000D4CD1"/>
    <w:rsid w:val="000D60F8"/>
    <w:rsid w:val="000D72BE"/>
    <w:rsid w:val="000D73FA"/>
    <w:rsid w:val="000D7702"/>
    <w:rsid w:val="000E0BB2"/>
    <w:rsid w:val="000E1ADC"/>
    <w:rsid w:val="000E1C50"/>
    <w:rsid w:val="000E25C9"/>
    <w:rsid w:val="000E3A74"/>
    <w:rsid w:val="000E4799"/>
    <w:rsid w:val="000E49F9"/>
    <w:rsid w:val="000E4C97"/>
    <w:rsid w:val="000E5563"/>
    <w:rsid w:val="000E5767"/>
    <w:rsid w:val="000E67DD"/>
    <w:rsid w:val="000E781C"/>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27"/>
    <w:rsid w:val="00113CA2"/>
    <w:rsid w:val="001167E2"/>
    <w:rsid w:val="0011747F"/>
    <w:rsid w:val="001206AA"/>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538"/>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4D"/>
    <w:rsid w:val="00147408"/>
    <w:rsid w:val="00147B9C"/>
    <w:rsid w:val="00150792"/>
    <w:rsid w:val="00152220"/>
    <w:rsid w:val="001522B1"/>
    <w:rsid w:val="0015308A"/>
    <w:rsid w:val="001532CE"/>
    <w:rsid w:val="00153323"/>
    <w:rsid w:val="00153789"/>
    <w:rsid w:val="00153DA3"/>
    <w:rsid w:val="001542AA"/>
    <w:rsid w:val="00156AE9"/>
    <w:rsid w:val="00156F86"/>
    <w:rsid w:val="0016284A"/>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1B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3F3B"/>
    <w:rsid w:val="0019507E"/>
    <w:rsid w:val="001958E4"/>
    <w:rsid w:val="00195CF4"/>
    <w:rsid w:val="00196C23"/>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B6A55"/>
    <w:rsid w:val="001C0AB4"/>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C7D00"/>
    <w:rsid w:val="001D01FF"/>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D72"/>
    <w:rsid w:val="001F6DD2"/>
    <w:rsid w:val="00200EF1"/>
    <w:rsid w:val="00202106"/>
    <w:rsid w:val="00202226"/>
    <w:rsid w:val="00203216"/>
    <w:rsid w:val="002060FA"/>
    <w:rsid w:val="00206409"/>
    <w:rsid w:val="00206533"/>
    <w:rsid w:val="002110D4"/>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021"/>
    <w:rsid w:val="002225D8"/>
    <w:rsid w:val="00222D33"/>
    <w:rsid w:val="00224AD8"/>
    <w:rsid w:val="00225803"/>
    <w:rsid w:val="00226F0A"/>
    <w:rsid w:val="00227447"/>
    <w:rsid w:val="00227558"/>
    <w:rsid w:val="00227CB5"/>
    <w:rsid w:val="00230943"/>
    <w:rsid w:val="002312E0"/>
    <w:rsid w:val="00232A41"/>
    <w:rsid w:val="00233137"/>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3603"/>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3E2F"/>
    <w:rsid w:val="00264970"/>
    <w:rsid w:val="00264ACA"/>
    <w:rsid w:val="00264FC7"/>
    <w:rsid w:val="002660F8"/>
    <w:rsid w:val="002664C8"/>
    <w:rsid w:val="00266550"/>
    <w:rsid w:val="002668A1"/>
    <w:rsid w:val="00267021"/>
    <w:rsid w:val="00270DAE"/>
    <w:rsid w:val="00270FB7"/>
    <w:rsid w:val="00272BAD"/>
    <w:rsid w:val="00272C1F"/>
    <w:rsid w:val="00273E95"/>
    <w:rsid w:val="00274C6E"/>
    <w:rsid w:val="002760D1"/>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ED9"/>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0B3B"/>
    <w:rsid w:val="002C1CD7"/>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70"/>
    <w:rsid w:val="002F6BD9"/>
    <w:rsid w:val="002F6EE1"/>
    <w:rsid w:val="002F707A"/>
    <w:rsid w:val="002F7854"/>
    <w:rsid w:val="003001FD"/>
    <w:rsid w:val="00300B68"/>
    <w:rsid w:val="00302811"/>
    <w:rsid w:val="00302BB5"/>
    <w:rsid w:val="003036E9"/>
    <w:rsid w:val="003058B2"/>
    <w:rsid w:val="00306591"/>
    <w:rsid w:val="00306AF0"/>
    <w:rsid w:val="003077A7"/>
    <w:rsid w:val="003101A8"/>
    <w:rsid w:val="00311C13"/>
    <w:rsid w:val="003121BE"/>
    <w:rsid w:val="00312CF5"/>
    <w:rsid w:val="00313ADB"/>
    <w:rsid w:val="00315510"/>
    <w:rsid w:val="00320783"/>
    <w:rsid w:val="00320EFA"/>
    <w:rsid w:val="00321DB8"/>
    <w:rsid w:val="003243C8"/>
    <w:rsid w:val="003248DB"/>
    <w:rsid w:val="003268A1"/>
    <w:rsid w:val="00326CDF"/>
    <w:rsid w:val="00326D62"/>
    <w:rsid w:val="00327ADA"/>
    <w:rsid w:val="00327B9A"/>
    <w:rsid w:val="00327F13"/>
    <w:rsid w:val="00330DCC"/>
    <w:rsid w:val="00331C97"/>
    <w:rsid w:val="00331DCA"/>
    <w:rsid w:val="0033277F"/>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6AB7"/>
    <w:rsid w:val="00367110"/>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EB1"/>
    <w:rsid w:val="00392DA8"/>
    <w:rsid w:val="00393026"/>
    <w:rsid w:val="00393320"/>
    <w:rsid w:val="00393840"/>
    <w:rsid w:val="00393BEC"/>
    <w:rsid w:val="003A0BAD"/>
    <w:rsid w:val="003A0CF1"/>
    <w:rsid w:val="003A277C"/>
    <w:rsid w:val="003A32DE"/>
    <w:rsid w:val="003A3607"/>
    <w:rsid w:val="003A3F19"/>
    <w:rsid w:val="003A4655"/>
    <w:rsid w:val="003A4AB8"/>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2726"/>
    <w:rsid w:val="003C285F"/>
    <w:rsid w:val="003C3780"/>
    <w:rsid w:val="003C3D53"/>
    <w:rsid w:val="003C55C1"/>
    <w:rsid w:val="003C71E0"/>
    <w:rsid w:val="003C7C04"/>
    <w:rsid w:val="003D01C6"/>
    <w:rsid w:val="003D066F"/>
    <w:rsid w:val="003D206E"/>
    <w:rsid w:val="003D223A"/>
    <w:rsid w:val="003D4B8C"/>
    <w:rsid w:val="003D53C9"/>
    <w:rsid w:val="003D57C9"/>
    <w:rsid w:val="003D679E"/>
    <w:rsid w:val="003E0104"/>
    <w:rsid w:val="003E1000"/>
    <w:rsid w:val="003E1730"/>
    <w:rsid w:val="003E273E"/>
    <w:rsid w:val="003E3EC0"/>
    <w:rsid w:val="003E49FB"/>
    <w:rsid w:val="003E4D42"/>
    <w:rsid w:val="003E5186"/>
    <w:rsid w:val="003E6F85"/>
    <w:rsid w:val="003E7874"/>
    <w:rsid w:val="003E7D91"/>
    <w:rsid w:val="003F1B94"/>
    <w:rsid w:val="003F2384"/>
    <w:rsid w:val="003F253B"/>
    <w:rsid w:val="003F254D"/>
    <w:rsid w:val="003F269D"/>
    <w:rsid w:val="003F289F"/>
    <w:rsid w:val="003F3E0E"/>
    <w:rsid w:val="00400645"/>
    <w:rsid w:val="004014E0"/>
    <w:rsid w:val="00401651"/>
    <w:rsid w:val="00402908"/>
    <w:rsid w:val="0040304B"/>
    <w:rsid w:val="00403996"/>
    <w:rsid w:val="00403FA5"/>
    <w:rsid w:val="004051BB"/>
    <w:rsid w:val="004072DB"/>
    <w:rsid w:val="004079D8"/>
    <w:rsid w:val="004105F8"/>
    <w:rsid w:val="00410B6E"/>
    <w:rsid w:val="00410D94"/>
    <w:rsid w:val="00410E5A"/>
    <w:rsid w:val="00413D1F"/>
    <w:rsid w:val="00414EDC"/>
    <w:rsid w:val="00415641"/>
    <w:rsid w:val="004161D6"/>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476"/>
    <w:rsid w:val="0043487D"/>
    <w:rsid w:val="004349F2"/>
    <w:rsid w:val="00435176"/>
    <w:rsid w:val="0043541D"/>
    <w:rsid w:val="00435C4B"/>
    <w:rsid w:val="004405A8"/>
    <w:rsid w:val="00440AE7"/>
    <w:rsid w:val="00440C44"/>
    <w:rsid w:val="00441A5F"/>
    <w:rsid w:val="00442269"/>
    <w:rsid w:val="004430BF"/>
    <w:rsid w:val="004503DF"/>
    <w:rsid w:val="0045099B"/>
    <w:rsid w:val="00450D7A"/>
    <w:rsid w:val="00452197"/>
    <w:rsid w:val="004535F6"/>
    <w:rsid w:val="00453AA5"/>
    <w:rsid w:val="004540F2"/>
    <w:rsid w:val="00456671"/>
    <w:rsid w:val="004568D5"/>
    <w:rsid w:val="004571A1"/>
    <w:rsid w:val="00457503"/>
    <w:rsid w:val="004605A9"/>
    <w:rsid w:val="00461E31"/>
    <w:rsid w:val="00461EEF"/>
    <w:rsid w:val="00462788"/>
    <w:rsid w:val="00462FF8"/>
    <w:rsid w:val="0046357B"/>
    <w:rsid w:val="00464491"/>
    <w:rsid w:val="004652E6"/>
    <w:rsid w:val="0046532E"/>
    <w:rsid w:val="00465AC3"/>
    <w:rsid w:val="00465FC1"/>
    <w:rsid w:val="00470311"/>
    <w:rsid w:val="004704B7"/>
    <w:rsid w:val="00470916"/>
    <w:rsid w:val="0047127A"/>
    <w:rsid w:val="004716C2"/>
    <w:rsid w:val="00472027"/>
    <w:rsid w:val="004737C3"/>
    <w:rsid w:val="004750A0"/>
    <w:rsid w:val="00475E74"/>
    <w:rsid w:val="00475E97"/>
    <w:rsid w:val="00477748"/>
    <w:rsid w:val="00480A55"/>
    <w:rsid w:val="004817FD"/>
    <w:rsid w:val="00481812"/>
    <w:rsid w:val="00481ACB"/>
    <w:rsid w:val="004820DB"/>
    <w:rsid w:val="00482F9E"/>
    <w:rsid w:val="004830FC"/>
    <w:rsid w:val="00483704"/>
    <w:rsid w:val="00484356"/>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E2A"/>
    <w:rsid w:val="00497F17"/>
    <w:rsid w:val="004A1C09"/>
    <w:rsid w:val="004A1E59"/>
    <w:rsid w:val="004A34CC"/>
    <w:rsid w:val="004A3547"/>
    <w:rsid w:val="004A4191"/>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41F"/>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0B2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3F11"/>
    <w:rsid w:val="00544216"/>
    <w:rsid w:val="00544333"/>
    <w:rsid w:val="0054482B"/>
    <w:rsid w:val="00545336"/>
    <w:rsid w:val="005455F2"/>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2479"/>
    <w:rsid w:val="0057457C"/>
    <w:rsid w:val="005745DF"/>
    <w:rsid w:val="005746B4"/>
    <w:rsid w:val="0057508B"/>
    <w:rsid w:val="00575E80"/>
    <w:rsid w:val="00577889"/>
    <w:rsid w:val="0057789C"/>
    <w:rsid w:val="00577FC7"/>
    <w:rsid w:val="00581127"/>
    <w:rsid w:val="00582166"/>
    <w:rsid w:val="0058244E"/>
    <w:rsid w:val="00582939"/>
    <w:rsid w:val="00582F0E"/>
    <w:rsid w:val="0058440E"/>
    <w:rsid w:val="005846DE"/>
    <w:rsid w:val="005852CD"/>
    <w:rsid w:val="005857B8"/>
    <w:rsid w:val="00586C5D"/>
    <w:rsid w:val="005910C7"/>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4DAB"/>
    <w:rsid w:val="005B6034"/>
    <w:rsid w:val="005B61A8"/>
    <w:rsid w:val="005C0BA2"/>
    <w:rsid w:val="005C288D"/>
    <w:rsid w:val="005C4176"/>
    <w:rsid w:val="005C462B"/>
    <w:rsid w:val="005C4F94"/>
    <w:rsid w:val="005C52C9"/>
    <w:rsid w:val="005C6B06"/>
    <w:rsid w:val="005C7470"/>
    <w:rsid w:val="005C7C3C"/>
    <w:rsid w:val="005D003E"/>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13C0"/>
    <w:rsid w:val="005E42CA"/>
    <w:rsid w:val="005E4A84"/>
    <w:rsid w:val="005E5210"/>
    <w:rsid w:val="005E6811"/>
    <w:rsid w:val="005E68E0"/>
    <w:rsid w:val="005E7A57"/>
    <w:rsid w:val="005F076D"/>
    <w:rsid w:val="005F2765"/>
    <w:rsid w:val="005F2DDA"/>
    <w:rsid w:val="005F2F7A"/>
    <w:rsid w:val="005F318C"/>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7E6"/>
    <w:rsid w:val="00622D2C"/>
    <w:rsid w:val="00624930"/>
    <w:rsid w:val="00624B4E"/>
    <w:rsid w:val="00624C4F"/>
    <w:rsid w:val="0062539B"/>
    <w:rsid w:val="00625557"/>
    <w:rsid w:val="00625E7B"/>
    <w:rsid w:val="0062602F"/>
    <w:rsid w:val="0062627A"/>
    <w:rsid w:val="0062698A"/>
    <w:rsid w:val="00627D37"/>
    <w:rsid w:val="00630045"/>
    <w:rsid w:val="0063028C"/>
    <w:rsid w:val="006307C4"/>
    <w:rsid w:val="00630A24"/>
    <w:rsid w:val="00630EF9"/>
    <w:rsid w:val="00632E1A"/>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2E8"/>
    <w:rsid w:val="00671413"/>
    <w:rsid w:val="006726AC"/>
    <w:rsid w:val="0067341A"/>
    <w:rsid w:val="0067467D"/>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07F"/>
    <w:rsid w:val="006905BB"/>
    <w:rsid w:val="006912B6"/>
    <w:rsid w:val="00691BA6"/>
    <w:rsid w:val="0069218F"/>
    <w:rsid w:val="006948EA"/>
    <w:rsid w:val="00694B3F"/>
    <w:rsid w:val="00695426"/>
    <w:rsid w:val="0069583A"/>
    <w:rsid w:val="006963D6"/>
    <w:rsid w:val="006963F5"/>
    <w:rsid w:val="006974A0"/>
    <w:rsid w:val="00697B41"/>
    <w:rsid w:val="006A00CA"/>
    <w:rsid w:val="006A26F8"/>
    <w:rsid w:val="006A4D02"/>
    <w:rsid w:val="006A579A"/>
    <w:rsid w:val="006A599C"/>
    <w:rsid w:val="006A77B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632"/>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F0A57"/>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67"/>
    <w:rsid w:val="00740FE2"/>
    <w:rsid w:val="007413A0"/>
    <w:rsid w:val="00741A94"/>
    <w:rsid w:val="00741B84"/>
    <w:rsid w:val="00742C71"/>
    <w:rsid w:val="00743D97"/>
    <w:rsid w:val="00743F35"/>
    <w:rsid w:val="00744569"/>
    <w:rsid w:val="00744924"/>
    <w:rsid w:val="0074516F"/>
    <w:rsid w:val="007452FD"/>
    <w:rsid w:val="007458EF"/>
    <w:rsid w:val="0074654A"/>
    <w:rsid w:val="00747190"/>
    <w:rsid w:val="00747F11"/>
    <w:rsid w:val="0075037F"/>
    <w:rsid w:val="007526EB"/>
    <w:rsid w:val="007538A7"/>
    <w:rsid w:val="007567D3"/>
    <w:rsid w:val="0075749A"/>
    <w:rsid w:val="007613AD"/>
    <w:rsid w:val="00761B0E"/>
    <w:rsid w:val="00761F4B"/>
    <w:rsid w:val="00763405"/>
    <w:rsid w:val="00763D64"/>
    <w:rsid w:val="0077344F"/>
    <w:rsid w:val="0077433D"/>
    <w:rsid w:val="00774800"/>
    <w:rsid w:val="00774CEF"/>
    <w:rsid w:val="0077770C"/>
    <w:rsid w:val="00777B45"/>
    <w:rsid w:val="00781EB9"/>
    <w:rsid w:val="007821E5"/>
    <w:rsid w:val="007831B4"/>
    <w:rsid w:val="00783B42"/>
    <w:rsid w:val="00783C90"/>
    <w:rsid w:val="00784506"/>
    <w:rsid w:val="00784595"/>
    <w:rsid w:val="00785315"/>
    <w:rsid w:val="00785C9B"/>
    <w:rsid w:val="007903E2"/>
    <w:rsid w:val="00790ADF"/>
    <w:rsid w:val="007914E7"/>
    <w:rsid w:val="007915EE"/>
    <w:rsid w:val="007926BB"/>
    <w:rsid w:val="00792E35"/>
    <w:rsid w:val="00794A52"/>
    <w:rsid w:val="00794CDA"/>
    <w:rsid w:val="00794F2E"/>
    <w:rsid w:val="00794FAF"/>
    <w:rsid w:val="007953CC"/>
    <w:rsid w:val="007957E5"/>
    <w:rsid w:val="00796479"/>
    <w:rsid w:val="007964BD"/>
    <w:rsid w:val="00796D2A"/>
    <w:rsid w:val="007970D4"/>
    <w:rsid w:val="007A03BD"/>
    <w:rsid w:val="007A14EE"/>
    <w:rsid w:val="007A1526"/>
    <w:rsid w:val="007A299E"/>
    <w:rsid w:val="007A2CEB"/>
    <w:rsid w:val="007A2F92"/>
    <w:rsid w:val="007A2FBE"/>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FBD"/>
    <w:rsid w:val="007C4552"/>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50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3F1"/>
    <w:rsid w:val="008249B8"/>
    <w:rsid w:val="00830309"/>
    <w:rsid w:val="0083097D"/>
    <w:rsid w:val="00831200"/>
    <w:rsid w:val="00831266"/>
    <w:rsid w:val="008327C5"/>
    <w:rsid w:val="00832A34"/>
    <w:rsid w:val="00832F0D"/>
    <w:rsid w:val="00833152"/>
    <w:rsid w:val="00833813"/>
    <w:rsid w:val="00833816"/>
    <w:rsid w:val="00833C2E"/>
    <w:rsid w:val="00833F71"/>
    <w:rsid w:val="00834D3F"/>
    <w:rsid w:val="00835D54"/>
    <w:rsid w:val="00841930"/>
    <w:rsid w:val="00842CB9"/>
    <w:rsid w:val="00843169"/>
    <w:rsid w:val="0084350E"/>
    <w:rsid w:val="00843A6E"/>
    <w:rsid w:val="00843B2C"/>
    <w:rsid w:val="008447A1"/>
    <w:rsid w:val="00845116"/>
    <w:rsid w:val="00845249"/>
    <w:rsid w:val="0084728A"/>
    <w:rsid w:val="008474C6"/>
    <w:rsid w:val="00847678"/>
    <w:rsid w:val="00847714"/>
    <w:rsid w:val="00847BEA"/>
    <w:rsid w:val="00850A43"/>
    <w:rsid w:val="00851424"/>
    <w:rsid w:val="008523BB"/>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342"/>
    <w:rsid w:val="008674E7"/>
    <w:rsid w:val="00872CC7"/>
    <w:rsid w:val="00872D99"/>
    <w:rsid w:val="008745EA"/>
    <w:rsid w:val="00874C84"/>
    <w:rsid w:val="00876601"/>
    <w:rsid w:val="00877C94"/>
    <w:rsid w:val="00880AAD"/>
    <w:rsid w:val="0088132E"/>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B0487"/>
    <w:rsid w:val="008B04B7"/>
    <w:rsid w:val="008B1003"/>
    <w:rsid w:val="008B278C"/>
    <w:rsid w:val="008B40B5"/>
    <w:rsid w:val="008B4569"/>
    <w:rsid w:val="008B4BC5"/>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17D"/>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4388"/>
    <w:rsid w:val="00925184"/>
    <w:rsid w:val="009259DE"/>
    <w:rsid w:val="00925F50"/>
    <w:rsid w:val="00926543"/>
    <w:rsid w:val="00926D63"/>
    <w:rsid w:val="009271A2"/>
    <w:rsid w:val="0092734D"/>
    <w:rsid w:val="00930600"/>
    <w:rsid w:val="00931E5C"/>
    <w:rsid w:val="00932116"/>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BC4"/>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3233"/>
    <w:rsid w:val="00993862"/>
    <w:rsid w:val="00993EC7"/>
    <w:rsid w:val="00994BBC"/>
    <w:rsid w:val="00994FA0"/>
    <w:rsid w:val="00995592"/>
    <w:rsid w:val="00995604"/>
    <w:rsid w:val="00995CFA"/>
    <w:rsid w:val="009960FA"/>
    <w:rsid w:val="009964BF"/>
    <w:rsid w:val="00996EDE"/>
    <w:rsid w:val="00997296"/>
    <w:rsid w:val="0099790E"/>
    <w:rsid w:val="009A0380"/>
    <w:rsid w:val="009A056D"/>
    <w:rsid w:val="009A0DE2"/>
    <w:rsid w:val="009A1B8A"/>
    <w:rsid w:val="009A3B8C"/>
    <w:rsid w:val="009A4095"/>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59C2"/>
    <w:rsid w:val="009B6295"/>
    <w:rsid w:val="009B6485"/>
    <w:rsid w:val="009B7317"/>
    <w:rsid w:val="009B734B"/>
    <w:rsid w:val="009B77BE"/>
    <w:rsid w:val="009C1723"/>
    <w:rsid w:val="009C2C2A"/>
    <w:rsid w:val="009C2C31"/>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411"/>
    <w:rsid w:val="009E6B96"/>
    <w:rsid w:val="009E70CB"/>
    <w:rsid w:val="009F1A01"/>
    <w:rsid w:val="009F1C34"/>
    <w:rsid w:val="009F3358"/>
    <w:rsid w:val="009F3399"/>
    <w:rsid w:val="009F3B53"/>
    <w:rsid w:val="009F3C25"/>
    <w:rsid w:val="009F46AD"/>
    <w:rsid w:val="009F676A"/>
    <w:rsid w:val="009F6B51"/>
    <w:rsid w:val="009F6E3C"/>
    <w:rsid w:val="00A023D1"/>
    <w:rsid w:val="00A02BE5"/>
    <w:rsid w:val="00A0632E"/>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56B"/>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7B5"/>
    <w:rsid w:val="00A61A8E"/>
    <w:rsid w:val="00A62F60"/>
    <w:rsid w:val="00A64A13"/>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22F"/>
    <w:rsid w:val="00AB464A"/>
    <w:rsid w:val="00AB4C19"/>
    <w:rsid w:val="00AB52FB"/>
    <w:rsid w:val="00AB74DB"/>
    <w:rsid w:val="00AB769D"/>
    <w:rsid w:val="00AB7B54"/>
    <w:rsid w:val="00AB7B86"/>
    <w:rsid w:val="00AC33CC"/>
    <w:rsid w:val="00AC3B8A"/>
    <w:rsid w:val="00AC43D7"/>
    <w:rsid w:val="00AC594D"/>
    <w:rsid w:val="00AC68DC"/>
    <w:rsid w:val="00AC7C22"/>
    <w:rsid w:val="00AD163B"/>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534"/>
    <w:rsid w:val="00B0363B"/>
    <w:rsid w:val="00B05D04"/>
    <w:rsid w:val="00B076FE"/>
    <w:rsid w:val="00B079B1"/>
    <w:rsid w:val="00B10F80"/>
    <w:rsid w:val="00B1107B"/>
    <w:rsid w:val="00B14552"/>
    <w:rsid w:val="00B14877"/>
    <w:rsid w:val="00B15B64"/>
    <w:rsid w:val="00B15D8F"/>
    <w:rsid w:val="00B16099"/>
    <w:rsid w:val="00B17DFB"/>
    <w:rsid w:val="00B20D19"/>
    <w:rsid w:val="00B20D4E"/>
    <w:rsid w:val="00B21B7D"/>
    <w:rsid w:val="00B24F75"/>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5A99"/>
    <w:rsid w:val="00B468AB"/>
    <w:rsid w:val="00B46F22"/>
    <w:rsid w:val="00B47228"/>
    <w:rsid w:val="00B47551"/>
    <w:rsid w:val="00B479ED"/>
    <w:rsid w:val="00B50BBA"/>
    <w:rsid w:val="00B52BA7"/>
    <w:rsid w:val="00B53064"/>
    <w:rsid w:val="00B5413C"/>
    <w:rsid w:val="00B545B0"/>
    <w:rsid w:val="00B54E92"/>
    <w:rsid w:val="00B55162"/>
    <w:rsid w:val="00B55E96"/>
    <w:rsid w:val="00B56006"/>
    <w:rsid w:val="00B56037"/>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69A"/>
    <w:rsid w:val="00B80AB7"/>
    <w:rsid w:val="00B80D4F"/>
    <w:rsid w:val="00B810A0"/>
    <w:rsid w:val="00B81BAE"/>
    <w:rsid w:val="00B826D3"/>
    <w:rsid w:val="00B82C8F"/>
    <w:rsid w:val="00B82D54"/>
    <w:rsid w:val="00B833E2"/>
    <w:rsid w:val="00B83B34"/>
    <w:rsid w:val="00B83D85"/>
    <w:rsid w:val="00B8446D"/>
    <w:rsid w:val="00B8459F"/>
    <w:rsid w:val="00B855DB"/>
    <w:rsid w:val="00B869BE"/>
    <w:rsid w:val="00B86C54"/>
    <w:rsid w:val="00B86CD1"/>
    <w:rsid w:val="00B874A8"/>
    <w:rsid w:val="00B875E6"/>
    <w:rsid w:val="00B87F92"/>
    <w:rsid w:val="00B9078B"/>
    <w:rsid w:val="00B90798"/>
    <w:rsid w:val="00B90BA7"/>
    <w:rsid w:val="00B92411"/>
    <w:rsid w:val="00B93111"/>
    <w:rsid w:val="00B93797"/>
    <w:rsid w:val="00B93909"/>
    <w:rsid w:val="00B97052"/>
    <w:rsid w:val="00BA0D93"/>
    <w:rsid w:val="00BA131B"/>
    <w:rsid w:val="00BA3653"/>
    <w:rsid w:val="00BA3703"/>
    <w:rsid w:val="00BA3B15"/>
    <w:rsid w:val="00BA3D32"/>
    <w:rsid w:val="00BA4845"/>
    <w:rsid w:val="00BA5F8B"/>
    <w:rsid w:val="00BA674C"/>
    <w:rsid w:val="00BA710E"/>
    <w:rsid w:val="00BA7BD1"/>
    <w:rsid w:val="00BB07FE"/>
    <w:rsid w:val="00BB0AC3"/>
    <w:rsid w:val="00BB13AC"/>
    <w:rsid w:val="00BB15F0"/>
    <w:rsid w:val="00BB1F39"/>
    <w:rsid w:val="00BB23E7"/>
    <w:rsid w:val="00BB2E23"/>
    <w:rsid w:val="00BB2FB6"/>
    <w:rsid w:val="00BB46D9"/>
    <w:rsid w:val="00BB5AC3"/>
    <w:rsid w:val="00BB6677"/>
    <w:rsid w:val="00BB7295"/>
    <w:rsid w:val="00BB7393"/>
    <w:rsid w:val="00BB745F"/>
    <w:rsid w:val="00BC057D"/>
    <w:rsid w:val="00BC0D17"/>
    <w:rsid w:val="00BC1C7F"/>
    <w:rsid w:val="00BC1DE0"/>
    <w:rsid w:val="00BC2B79"/>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2D3"/>
    <w:rsid w:val="00C03308"/>
    <w:rsid w:val="00C0426A"/>
    <w:rsid w:val="00C067EB"/>
    <w:rsid w:val="00C07666"/>
    <w:rsid w:val="00C07B2C"/>
    <w:rsid w:val="00C10216"/>
    <w:rsid w:val="00C1033C"/>
    <w:rsid w:val="00C1133C"/>
    <w:rsid w:val="00C12067"/>
    <w:rsid w:val="00C12AA3"/>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2A99"/>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6FE"/>
    <w:rsid w:val="00C6216B"/>
    <w:rsid w:val="00C624C3"/>
    <w:rsid w:val="00C624E9"/>
    <w:rsid w:val="00C64574"/>
    <w:rsid w:val="00C64892"/>
    <w:rsid w:val="00C65571"/>
    <w:rsid w:val="00C67029"/>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3DE0"/>
    <w:rsid w:val="00CB6A3E"/>
    <w:rsid w:val="00CB717B"/>
    <w:rsid w:val="00CB743B"/>
    <w:rsid w:val="00CC0BFE"/>
    <w:rsid w:val="00CC2092"/>
    <w:rsid w:val="00CC235D"/>
    <w:rsid w:val="00CC2406"/>
    <w:rsid w:val="00CC240C"/>
    <w:rsid w:val="00CC2C60"/>
    <w:rsid w:val="00CC5453"/>
    <w:rsid w:val="00CC5736"/>
    <w:rsid w:val="00CC5A57"/>
    <w:rsid w:val="00CC6624"/>
    <w:rsid w:val="00CC6672"/>
    <w:rsid w:val="00CC6716"/>
    <w:rsid w:val="00CC67EC"/>
    <w:rsid w:val="00CC7C01"/>
    <w:rsid w:val="00CC7F55"/>
    <w:rsid w:val="00CD01A0"/>
    <w:rsid w:val="00CD086B"/>
    <w:rsid w:val="00CD1D14"/>
    <w:rsid w:val="00CD2C8D"/>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3C9"/>
    <w:rsid w:val="00CE7CEC"/>
    <w:rsid w:val="00CF1EA4"/>
    <w:rsid w:val="00CF2781"/>
    <w:rsid w:val="00CF2F84"/>
    <w:rsid w:val="00CF42D3"/>
    <w:rsid w:val="00CF4827"/>
    <w:rsid w:val="00CF5991"/>
    <w:rsid w:val="00CF5D74"/>
    <w:rsid w:val="00CF5FA6"/>
    <w:rsid w:val="00CF614B"/>
    <w:rsid w:val="00D006D7"/>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15E"/>
    <w:rsid w:val="00D509FB"/>
    <w:rsid w:val="00D51F6E"/>
    <w:rsid w:val="00D529C9"/>
    <w:rsid w:val="00D529CB"/>
    <w:rsid w:val="00D544C6"/>
    <w:rsid w:val="00D55C17"/>
    <w:rsid w:val="00D55ED5"/>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0C71"/>
    <w:rsid w:val="00D71F87"/>
    <w:rsid w:val="00D729D4"/>
    <w:rsid w:val="00D738C3"/>
    <w:rsid w:val="00D73EEA"/>
    <w:rsid w:val="00D74A6B"/>
    <w:rsid w:val="00D74DA1"/>
    <w:rsid w:val="00D7563D"/>
    <w:rsid w:val="00D75A11"/>
    <w:rsid w:val="00D75F19"/>
    <w:rsid w:val="00D75FD2"/>
    <w:rsid w:val="00D80837"/>
    <w:rsid w:val="00D808DF"/>
    <w:rsid w:val="00D809E1"/>
    <w:rsid w:val="00D810D1"/>
    <w:rsid w:val="00D81243"/>
    <w:rsid w:val="00D81321"/>
    <w:rsid w:val="00D81A15"/>
    <w:rsid w:val="00D81A35"/>
    <w:rsid w:val="00D81B4F"/>
    <w:rsid w:val="00D81E8D"/>
    <w:rsid w:val="00D83075"/>
    <w:rsid w:val="00D8323C"/>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2270"/>
    <w:rsid w:val="00DB30C4"/>
    <w:rsid w:val="00DB333B"/>
    <w:rsid w:val="00DB3E99"/>
    <w:rsid w:val="00DB442E"/>
    <w:rsid w:val="00DB48BF"/>
    <w:rsid w:val="00DB4DB2"/>
    <w:rsid w:val="00DB5291"/>
    <w:rsid w:val="00DB5B17"/>
    <w:rsid w:val="00DB6B9B"/>
    <w:rsid w:val="00DB701F"/>
    <w:rsid w:val="00DB7D65"/>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FDC"/>
    <w:rsid w:val="00DE2AD3"/>
    <w:rsid w:val="00DE2F72"/>
    <w:rsid w:val="00DE3CB4"/>
    <w:rsid w:val="00DE4182"/>
    <w:rsid w:val="00DE47C0"/>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53"/>
    <w:rsid w:val="00E156BF"/>
    <w:rsid w:val="00E15D5B"/>
    <w:rsid w:val="00E166F1"/>
    <w:rsid w:val="00E16F42"/>
    <w:rsid w:val="00E20F48"/>
    <w:rsid w:val="00E21828"/>
    <w:rsid w:val="00E231E4"/>
    <w:rsid w:val="00E23812"/>
    <w:rsid w:val="00E27ACE"/>
    <w:rsid w:val="00E3061E"/>
    <w:rsid w:val="00E30A37"/>
    <w:rsid w:val="00E310A9"/>
    <w:rsid w:val="00E313BE"/>
    <w:rsid w:val="00E315E8"/>
    <w:rsid w:val="00E31E4A"/>
    <w:rsid w:val="00E33688"/>
    <w:rsid w:val="00E340E2"/>
    <w:rsid w:val="00E34D3C"/>
    <w:rsid w:val="00E35122"/>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3AE"/>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977"/>
    <w:rsid w:val="00E65EF7"/>
    <w:rsid w:val="00E65FBB"/>
    <w:rsid w:val="00E70EF5"/>
    <w:rsid w:val="00E713C6"/>
    <w:rsid w:val="00E72442"/>
    <w:rsid w:val="00E73832"/>
    <w:rsid w:val="00E7461F"/>
    <w:rsid w:val="00E74DA4"/>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0DCD"/>
    <w:rsid w:val="00E914E1"/>
    <w:rsid w:val="00E91ACE"/>
    <w:rsid w:val="00E9314D"/>
    <w:rsid w:val="00E93AED"/>
    <w:rsid w:val="00E94328"/>
    <w:rsid w:val="00E95AC2"/>
    <w:rsid w:val="00E95B5F"/>
    <w:rsid w:val="00EA02B5"/>
    <w:rsid w:val="00EA1231"/>
    <w:rsid w:val="00EA4B43"/>
    <w:rsid w:val="00EA4C84"/>
    <w:rsid w:val="00EA530C"/>
    <w:rsid w:val="00EA6916"/>
    <w:rsid w:val="00EA7ED8"/>
    <w:rsid w:val="00EA7F7A"/>
    <w:rsid w:val="00EB0159"/>
    <w:rsid w:val="00EB05E2"/>
    <w:rsid w:val="00EB05FE"/>
    <w:rsid w:val="00EB0CFC"/>
    <w:rsid w:val="00EB20C7"/>
    <w:rsid w:val="00EB236A"/>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6DC"/>
    <w:rsid w:val="00F30DE3"/>
    <w:rsid w:val="00F3191C"/>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36EB"/>
    <w:rsid w:val="00F74A60"/>
    <w:rsid w:val="00F75ED7"/>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1E47"/>
    <w:rsid w:val="00FE29F0"/>
    <w:rsid w:val="00FE2AF2"/>
    <w:rsid w:val="00FE31C7"/>
    <w:rsid w:val="00FE4C2C"/>
    <w:rsid w:val="00FE575B"/>
    <w:rsid w:val="00FE71E2"/>
    <w:rsid w:val="00FE79C6"/>
    <w:rsid w:val="00FF1004"/>
    <w:rsid w:val="00FF1282"/>
    <w:rsid w:val="00FF2F39"/>
    <w:rsid w:val="00FF30D9"/>
    <w:rsid w:val="00FF41FB"/>
    <w:rsid w:val="00FF4ADA"/>
    <w:rsid w:val="00FF4C34"/>
    <w:rsid w:val="00FF60E1"/>
    <w:rsid w:val="00FF627B"/>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B0363B"/>
    <w:pPr>
      <w:spacing w:after="180"/>
    </w:pPr>
    <w:rPr>
      <w:rFonts w:ascii="Times New Roman" w:hAnsi="Times New Roman"/>
      <w:lang w:val="en-GB"/>
    </w:rPr>
  </w:style>
  <w:style w:type="paragraph" w:styleId="Heading1">
    <w:name w:val="heading 1"/>
    <w:aliases w:val="H1,h1"/>
    <w:next w:val="Normal"/>
    <w:qFormat/>
    <w:rsid w:val="00B036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B0363B"/>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B036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B0363B"/>
    <w:pPr>
      <w:ind w:left="1418" w:hanging="1418"/>
      <w:outlineLvl w:val="3"/>
    </w:pPr>
    <w:rPr>
      <w:sz w:val="24"/>
    </w:rPr>
  </w:style>
  <w:style w:type="paragraph" w:styleId="Heading5">
    <w:name w:val="heading 5"/>
    <w:basedOn w:val="Heading4"/>
    <w:next w:val="Normal"/>
    <w:qFormat/>
    <w:rsid w:val="00B0363B"/>
    <w:pPr>
      <w:ind w:left="1701" w:hanging="1701"/>
      <w:outlineLvl w:val="4"/>
    </w:pPr>
    <w:rPr>
      <w:sz w:val="22"/>
    </w:rPr>
  </w:style>
  <w:style w:type="paragraph" w:styleId="Heading6">
    <w:name w:val="heading 6"/>
    <w:basedOn w:val="H6"/>
    <w:next w:val="Normal"/>
    <w:qFormat/>
    <w:rsid w:val="00B0363B"/>
    <w:pPr>
      <w:outlineLvl w:val="5"/>
    </w:pPr>
  </w:style>
  <w:style w:type="paragraph" w:styleId="Heading7">
    <w:name w:val="heading 7"/>
    <w:basedOn w:val="H6"/>
    <w:next w:val="Normal"/>
    <w:qFormat/>
    <w:rsid w:val="00B0363B"/>
    <w:pPr>
      <w:outlineLvl w:val="6"/>
    </w:pPr>
  </w:style>
  <w:style w:type="paragraph" w:styleId="Heading8">
    <w:name w:val="heading 8"/>
    <w:basedOn w:val="Heading1"/>
    <w:next w:val="Normal"/>
    <w:qFormat/>
    <w:rsid w:val="00B0363B"/>
    <w:pPr>
      <w:ind w:left="0" w:firstLine="0"/>
      <w:outlineLvl w:val="7"/>
    </w:pPr>
  </w:style>
  <w:style w:type="paragraph" w:styleId="Heading9">
    <w:name w:val="heading 9"/>
    <w:basedOn w:val="Heading8"/>
    <w:next w:val="Normal"/>
    <w:qFormat/>
    <w:rsid w:val="00B03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363B"/>
    <w:pPr>
      <w:ind w:left="1985" w:hanging="1985"/>
      <w:outlineLvl w:val="9"/>
    </w:pPr>
    <w:rPr>
      <w:sz w:val="20"/>
    </w:rPr>
  </w:style>
  <w:style w:type="paragraph" w:styleId="TOC8">
    <w:name w:val="toc 8"/>
    <w:basedOn w:val="TOC1"/>
    <w:semiHidden/>
    <w:rsid w:val="00B0363B"/>
    <w:pPr>
      <w:spacing w:before="180"/>
      <w:ind w:left="2693" w:hanging="2693"/>
    </w:pPr>
    <w:rPr>
      <w:b/>
    </w:rPr>
  </w:style>
  <w:style w:type="paragraph" w:styleId="TOC1">
    <w:name w:val="toc 1"/>
    <w:uiPriority w:val="39"/>
    <w:rsid w:val="00B036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036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0363B"/>
    <w:pPr>
      <w:ind w:left="1701" w:hanging="1701"/>
    </w:pPr>
  </w:style>
  <w:style w:type="paragraph" w:styleId="TOC4">
    <w:name w:val="toc 4"/>
    <w:basedOn w:val="TOC3"/>
    <w:semiHidden/>
    <w:rsid w:val="00B0363B"/>
    <w:pPr>
      <w:ind w:left="1418" w:hanging="1418"/>
    </w:pPr>
  </w:style>
  <w:style w:type="paragraph" w:styleId="TOC3">
    <w:name w:val="toc 3"/>
    <w:basedOn w:val="TOC2"/>
    <w:uiPriority w:val="39"/>
    <w:rsid w:val="00B0363B"/>
    <w:pPr>
      <w:ind w:left="1134" w:hanging="1134"/>
    </w:pPr>
  </w:style>
  <w:style w:type="paragraph" w:styleId="TOC2">
    <w:name w:val="toc 2"/>
    <w:basedOn w:val="TOC1"/>
    <w:uiPriority w:val="39"/>
    <w:rsid w:val="00B0363B"/>
    <w:pPr>
      <w:keepNext w:val="0"/>
      <w:spacing w:before="0"/>
      <w:ind w:left="851" w:hanging="851"/>
    </w:pPr>
    <w:rPr>
      <w:sz w:val="20"/>
    </w:rPr>
  </w:style>
  <w:style w:type="paragraph" w:styleId="Index2">
    <w:name w:val="index 2"/>
    <w:basedOn w:val="Index1"/>
    <w:semiHidden/>
    <w:rsid w:val="00B0363B"/>
    <w:pPr>
      <w:ind w:left="284"/>
    </w:pPr>
  </w:style>
  <w:style w:type="paragraph" w:styleId="Index1">
    <w:name w:val="index 1"/>
    <w:basedOn w:val="Normal"/>
    <w:semiHidden/>
    <w:rsid w:val="00B0363B"/>
    <w:pPr>
      <w:keepLines/>
      <w:spacing w:after="0"/>
    </w:pPr>
  </w:style>
  <w:style w:type="paragraph" w:customStyle="1" w:styleId="ZH">
    <w:name w:val="ZH"/>
    <w:rsid w:val="00B036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0363B"/>
    <w:pPr>
      <w:outlineLvl w:val="9"/>
    </w:pPr>
  </w:style>
  <w:style w:type="paragraph" w:styleId="ListNumber2">
    <w:name w:val="List Number 2"/>
    <w:basedOn w:val="ListNumber"/>
    <w:rsid w:val="00B0363B"/>
    <w:pPr>
      <w:ind w:left="851"/>
    </w:pPr>
  </w:style>
  <w:style w:type="paragraph" w:styleId="ListNumber">
    <w:name w:val="List Number"/>
    <w:basedOn w:val="List"/>
    <w:rsid w:val="00B0363B"/>
  </w:style>
  <w:style w:type="paragraph" w:styleId="List">
    <w:name w:val="List"/>
    <w:basedOn w:val="Normal"/>
    <w:link w:val="ListChar"/>
    <w:rsid w:val="00B0363B"/>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0363B"/>
    <w:pPr>
      <w:widowControl w:val="0"/>
    </w:pPr>
    <w:rPr>
      <w:rFonts w:ascii="Arial" w:hAnsi="Arial"/>
      <w:b/>
      <w:noProof/>
      <w:sz w:val="18"/>
      <w:lang w:val="en-GB"/>
    </w:rPr>
  </w:style>
  <w:style w:type="character" w:styleId="FootnoteReference">
    <w:name w:val="footnote reference"/>
    <w:semiHidden/>
    <w:rsid w:val="00B0363B"/>
    <w:rPr>
      <w:b/>
      <w:position w:val="6"/>
      <w:sz w:val="16"/>
    </w:rPr>
  </w:style>
  <w:style w:type="paragraph" w:styleId="FootnoteText">
    <w:name w:val="footnote text"/>
    <w:basedOn w:val="Normal"/>
    <w:semiHidden/>
    <w:rsid w:val="00B0363B"/>
    <w:pPr>
      <w:keepLines/>
      <w:spacing w:after="0"/>
      <w:ind w:left="454" w:hanging="454"/>
    </w:pPr>
    <w:rPr>
      <w:sz w:val="16"/>
    </w:rPr>
  </w:style>
  <w:style w:type="paragraph" w:customStyle="1" w:styleId="TAH">
    <w:name w:val="TAH"/>
    <w:basedOn w:val="TAC"/>
    <w:link w:val="TAHCar"/>
    <w:rsid w:val="00B0363B"/>
    <w:rPr>
      <w:b/>
    </w:rPr>
  </w:style>
  <w:style w:type="paragraph" w:customStyle="1" w:styleId="TAC">
    <w:name w:val="TAC"/>
    <w:basedOn w:val="TAL"/>
    <w:rsid w:val="00B0363B"/>
    <w:pPr>
      <w:jc w:val="center"/>
    </w:pPr>
  </w:style>
  <w:style w:type="paragraph" w:customStyle="1" w:styleId="TAL">
    <w:name w:val="TAL"/>
    <w:basedOn w:val="Normal"/>
    <w:link w:val="TALChar"/>
    <w:rsid w:val="00B0363B"/>
    <w:pPr>
      <w:keepNext/>
      <w:keepLines/>
      <w:spacing w:after="0"/>
    </w:pPr>
    <w:rPr>
      <w:rFonts w:ascii="Arial" w:hAnsi="Arial"/>
      <w:sz w:val="18"/>
    </w:rPr>
  </w:style>
  <w:style w:type="paragraph" w:customStyle="1" w:styleId="TF">
    <w:name w:val="TF"/>
    <w:basedOn w:val="TH"/>
    <w:rsid w:val="00B0363B"/>
    <w:pPr>
      <w:keepNext w:val="0"/>
      <w:spacing w:before="0" w:after="240"/>
    </w:pPr>
  </w:style>
  <w:style w:type="paragraph" w:customStyle="1" w:styleId="TH">
    <w:name w:val="TH"/>
    <w:basedOn w:val="Normal"/>
    <w:rsid w:val="00B0363B"/>
    <w:pPr>
      <w:keepNext/>
      <w:keepLines/>
      <w:spacing w:before="60"/>
      <w:jc w:val="center"/>
    </w:pPr>
    <w:rPr>
      <w:rFonts w:ascii="Arial" w:hAnsi="Arial"/>
      <w:b/>
    </w:rPr>
  </w:style>
  <w:style w:type="paragraph" w:customStyle="1" w:styleId="NO">
    <w:name w:val="NO"/>
    <w:basedOn w:val="Normal"/>
    <w:rsid w:val="00B0363B"/>
    <w:pPr>
      <w:keepLines/>
      <w:ind w:left="1135" w:hanging="851"/>
    </w:pPr>
  </w:style>
  <w:style w:type="paragraph" w:styleId="TOC9">
    <w:name w:val="toc 9"/>
    <w:basedOn w:val="TOC8"/>
    <w:semiHidden/>
    <w:rsid w:val="00B0363B"/>
    <w:pPr>
      <w:ind w:left="1418" w:hanging="1418"/>
    </w:pPr>
  </w:style>
  <w:style w:type="paragraph" w:customStyle="1" w:styleId="EX">
    <w:name w:val="EX"/>
    <w:basedOn w:val="Normal"/>
    <w:rsid w:val="00B0363B"/>
    <w:pPr>
      <w:keepLines/>
      <w:ind w:left="1702" w:hanging="1418"/>
    </w:pPr>
  </w:style>
  <w:style w:type="paragraph" w:customStyle="1" w:styleId="FP">
    <w:name w:val="FP"/>
    <w:basedOn w:val="Normal"/>
    <w:rsid w:val="00B0363B"/>
    <w:pPr>
      <w:spacing w:after="0"/>
    </w:pPr>
  </w:style>
  <w:style w:type="paragraph" w:customStyle="1" w:styleId="LD">
    <w:name w:val="LD"/>
    <w:rsid w:val="00B0363B"/>
    <w:pPr>
      <w:keepNext/>
      <w:keepLines/>
      <w:spacing w:line="180" w:lineRule="exact"/>
    </w:pPr>
    <w:rPr>
      <w:rFonts w:ascii="MS LineDraw" w:hAnsi="MS LineDraw"/>
      <w:noProof/>
      <w:lang w:val="en-GB"/>
    </w:rPr>
  </w:style>
  <w:style w:type="paragraph" w:customStyle="1" w:styleId="NW">
    <w:name w:val="NW"/>
    <w:basedOn w:val="NO"/>
    <w:rsid w:val="00B0363B"/>
    <w:pPr>
      <w:spacing w:after="0"/>
    </w:pPr>
  </w:style>
  <w:style w:type="paragraph" w:customStyle="1" w:styleId="EW">
    <w:name w:val="EW"/>
    <w:basedOn w:val="EX"/>
    <w:rsid w:val="00B0363B"/>
    <w:pPr>
      <w:spacing w:after="0"/>
    </w:pPr>
  </w:style>
  <w:style w:type="paragraph" w:styleId="TOC6">
    <w:name w:val="toc 6"/>
    <w:basedOn w:val="TOC5"/>
    <w:next w:val="Normal"/>
    <w:semiHidden/>
    <w:rsid w:val="00B0363B"/>
    <w:pPr>
      <w:ind w:left="1985" w:hanging="1985"/>
    </w:pPr>
  </w:style>
  <w:style w:type="paragraph" w:styleId="TOC7">
    <w:name w:val="toc 7"/>
    <w:basedOn w:val="TOC6"/>
    <w:next w:val="Normal"/>
    <w:semiHidden/>
    <w:rsid w:val="00B0363B"/>
    <w:pPr>
      <w:ind w:left="2268" w:hanging="2268"/>
    </w:pPr>
  </w:style>
  <w:style w:type="paragraph" w:styleId="ListBullet2">
    <w:name w:val="List Bullet 2"/>
    <w:basedOn w:val="ListBullet"/>
    <w:rsid w:val="00B0363B"/>
    <w:pPr>
      <w:ind w:left="851"/>
    </w:pPr>
  </w:style>
  <w:style w:type="paragraph" w:styleId="ListBullet">
    <w:name w:val="List Bullet"/>
    <w:basedOn w:val="List"/>
    <w:rsid w:val="00B0363B"/>
  </w:style>
  <w:style w:type="paragraph" w:styleId="ListBullet3">
    <w:name w:val="List Bullet 3"/>
    <w:basedOn w:val="ListBullet2"/>
    <w:rsid w:val="00B0363B"/>
    <w:pPr>
      <w:ind w:left="1135"/>
    </w:pPr>
  </w:style>
  <w:style w:type="paragraph" w:customStyle="1" w:styleId="EQ">
    <w:name w:val="EQ"/>
    <w:basedOn w:val="Normal"/>
    <w:next w:val="Normal"/>
    <w:rsid w:val="00B0363B"/>
    <w:pPr>
      <w:keepLines/>
      <w:tabs>
        <w:tab w:val="center" w:pos="4536"/>
        <w:tab w:val="right" w:pos="9072"/>
      </w:tabs>
    </w:pPr>
    <w:rPr>
      <w:noProof/>
    </w:rPr>
  </w:style>
  <w:style w:type="paragraph" w:customStyle="1" w:styleId="NF">
    <w:name w:val="NF"/>
    <w:basedOn w:val="NO"/>
    <w:rsid w:val="00B0363B"/>
    <w:pPr>
      <w:keepNext/>
      <w:spacing w:after="0"/>
    </w:pPr>
    <w:rPr>
      <w:rFonts w:ascii="Arial" w:hAnsi="Arial"/>
      <w:sz w:val="18"/>
    </w:rPr>
  </w:style>
  <w:style w:type="paragraph" w:customStyle="1" w:styleId="PL">
    <w:name w:val="PL"/>
    <w:rsid w:val="00B03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0363B"/>
    <w:pPr>
      <w:jc w:val="right"/>
    </w:pPr>
  </w:style>
  <w:style w:type="paragraph" w:customStyle="1" w:styleId="TAN">
    <w:name w:val="TAN"/>
    <w:basedOn w:val="TAL"/>
    <w:rsid w:val="00B0363B"/>
    <w:pPr>
      <w:ind w:left="851" w:hanging="851"/>
    </w:pPr>
  </w:style>
  <w:style w:type="paragraph" w:customStyle="1" w:styleId="ZA">
    <w:name w:val="ZA"/>
    <w:rsid w:val="00B036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036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0363B"/>
    <w:pPr>
      <w:framePr w:wrap="notBeside" w:vAnchor="page" w:hAnchor="margin" w:y="15764"/>
      <w:widowControl w:val="0"/>
    </w:pPr>
    <w:rPr>
      <w:rFonts w:ascii="Arial" w:hAnsi="Arial"/>
      <w:noProof/>
      <w:sz w:val="32"/>
      <w:lang w:val="en-GB"/>
    </w:rPr>
  </w:style>
  <w:style w:type="paragraph" w:customStyle="1" w:styleId="ZU">
    <w:name w:val="ZU"/>
    <w:rsid w:val="00B036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0363B"/>
    <w:pPr>
      <w:framePr w:wrap="notBeside" w:y="16161"/>
    </w:pPr>
  </w:style>
  <w:style w:type="character" w:customStyle="1" w:styleId="ZGSM">
    <w:name w:val="ZGSM"/>
    <w:rsid w:val="00B0363B"/>
  </w:style>
  <w:style w:type="paragraph" w:styleId="List2">
    <w:name w:val="List 2"/>
    <w:basedOn w:val="List"/>
    <w:link w:val="List2Char"/>
    <w:rsid w:val="00B0363B"/>
    <w:pPr>
      <w:ind w:left="851"/>
    </w:pPr>
  </w:style>
  <w:style w:type="paragraph" w:customStyle="1" w:styleId="ZG">
    <w:name w:val="ZG"/>
    <w:rsid w:val="00B0363B"/>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0363B"/>
    <w:pPr>
      <w:ind w:left="1135"/>
    </w:pPr>
  </w:style>
  <w:style w:type="paragraph" w:styleId="List4">
    <w:name w:val="List 4"/>
    <w:basedOn w:val="List3"/>
    <w:rsid w:val="00B0363B"/>
    <w:pPr>
      <w:ind w:left="1418"/>
    </w:pPr>
  </w:style>
  <w:style w:type="paragraph" w:styleId="List5">
    <w:name w:val="List 5"/>
    <w:basedOn w:val="List4"/>
    <w:rsid w:val="00B0363B"/>
    <w:pPr>
      <w:ind w:left="1702"/>
    </w:pPr>
  </w:style>
  <w:style w:type="paragraph" w:customStyle="1" w:styleId="EditorsNote">
    <w:name w:val="Editor's Note"/>
    <w:aliases w:val="EN"/>
    <w:basedOn w:val="NO"/>
    <w:link w:val="EditorsNoteChar"/>
    <w:qFormat/>
    <w:rsid w:val="00B0363B"/>
    <w:rPr>
      <w:color w:val="FF0000"/>
    </w:rPr>
  </w:style>
  <w:style w:type="paragraph" w:styleId="ListBullet4">
    <w:name w:val="List Bullet 4"/>
    <w:basedOn w:val="ListBullet3"/>
    <w:rsid w:val="00B0363B"/>
    <w:pPr>
      <w:ind w:left="1418"/>
    </w:pPr>
  </w:style>
  <w:style w:type="paragraph" w:styleId="ListBullet5">
    <w:name w:val="List Bullet 5"/>
    <w:basedOn w:val="ListBullet4"/>
    <w:rsid w:val="00B0363B"/>
    <w:pPr>
      <w:ind w:left="1702"/>
    </w:pPr>
  </w:style>
  <w:style w:type="paragraph" w:customStyle="1" w:styleId="B1">
    <w:name w:val="B1"/>
    <w:basedOn w:val="List"/>
    <w:link w:val="B1Char"/>
    <w:rsid w:val="00B0363B"/>
    <w:rPr>
      <w:lang w:eastAsia="ja-JP"/>
    </w:rPr>
  </w:style>
  <w:style w:type="paragraph" w:customStyle="1" w:styleId="B2">
    <w:name w:val="B2"/>
    <w:basedOn w:val="List2"/>
    <w:link w:val="B2Char"/>
    <w:rsid w:val="00B0363B"/>
  </w:style>
  <w:style w:type="paragraph" w:customStyle="1" w:styleId="B3">
    <w:name w:val="B3"/>
    <w:basedOn w:val="List3"/>
    <w:link w:val="B3Char"/>
    <w:rsid w:val="00B0363B"/>
  </w:style>
  <w:style w:type="paragraph" w:customStyle="1" w:styleId="B4">
    <w:name w:val="B4"/>
    <w:basedOn w:val="List4"/>
    <w:rsid w:val="00B0363B"/>
  </w:style>
  <w:style w:type="paragraph" w:customStyle="1" w:styleId="B5">
    <w:name w:val="B5"/>
    <w:basedOn w:val="List5"/>
    <w:rsid w:val="00B0363B"/>
  </w:style>
  <w:style w:type="paragraph" w:styleId="Footer">
    <w:name w:val="footer"/>
    <w:basedOn w:val="Header"/>
    <w:rsid w:val="00B0363B"/>
    <w:pPr>
      <w:jc w:val="center"/>
    </w:pPr>
    <w:rPr>
      <w:i/>
    </w:rPr>
  </w:style>
  <w:style w:type="paragraph" w:customStyle="1" w:styleId="ZTD">
    <w:name w:val="ZTD"/>
    <w:basedOn w:val="ZB"/>
    <w:rsid w:val="00B0363B"/>
    <w:pPr>
      <w:framePr w:hRule="auto" w:wrap="notBeside" w:y="852"/>
    </w:pPr>
    <w:rPr>
      <w:i w:val="0"/>
      <w:sz w:val="40"/>
    </w:rPr>
  </w:style>
  <w:style w:type="paragraph" w:customStyle="1" w:styleId="CRCoverPage">
    <w:name w:val="CR Cover Page"/>
    <w:rsid w:val="00B0363B"/>
    <w:pPr>
      <w:spacing w:after="120"/>
    </w:pPr>
    <w:rPr>
      <w:rFonts w:ascii="Arial" w:hAnsi="Arial"/>
      <w:lang w:val="en-GB"/>
    </w:rPr>
  </w:style>
  <w:style w:type="paragraph" w:customStyle="1" w:styleId="tdoc-header">
    <w:name w:val="tdoc-header"/>
    <w:rsid w:val="00B0363B"/>
    <w:rPr>
      <w:rFonts w:ascii="Arial" w:hAnsi="Arial"/>
      <w:noProof/>
      <w:sz w:val="24"/>
      <w:lang w:val="en-GB"/>
    </w:rPr>
  </w:style>
  <w:style w:type="character" w:styleId="Hyperlink">
    <w:name w:val="Hyperlink"/>
    <w:rsid w:val="00B0363B"/>
    <w:rPr>
      <w:color w:val="0000FF"/>
      <w:u w:val="single"/>
    </w:rPr>
  </w:style>
  <w:style w:type="character" w:styleId="CommentReference">
    <w:name w:val="annotation reference"/>
    <w:semiHidden/>
    <w:rsid w:val="00B0363B"/>
    <w:rPr>
      <w:sz w:val="16"/>
    </w:rPr>
  </w:style>
  <w:style w:type="paragraph" w:styleId="CommentText">
    <w:name w:val="annotation text"/>
    <w:basedOn w:val="Normal"/>
    <w:semiHidden/>
    <w:rsid w:val="00B0363B"/>
  </w:style>
  <w:style w:type="character" w:styleId="FollowedHyperlink">
    <w:name w:val="FollowedHyperlink"/>
    <w:rsid w:val="00B0363B"/>
    <w:rPr>
      <w:color w:val="800080"/>
      <w:u w:val="single"/>
    </w:rPr>
  </w:style>
  <w:style w:type="paragraph" w:styleId="DocumentMap">
    <w:name w:val="Document Map"/>
    <w:basedOn w:val="Normal"/>
    <w:semiHidden/>
    <w:rsid w:val="00B0363B"/>
    <w:pPr>
      <w:shd w:val="clear" w:color="auto" w:fill="000080"/>
    </w:pPr>
    <w:rPr>
      <w:rFonts w:ascii="Arial" w:eastAsia="MS Gothic" w:hAnsi="Arial"/>
    </w:rPr>
  </w:style>
  <w:style w:type="paragraph" w:customStyle="1" w:styleId="HDStyleLS">
    <w:name w:val="HDStyle_LS"/>
    <w:basedOn w:val="Header"/>
    <w:rsid w:val="00B0363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0363B"/>
    <w:pPr>
      <w:overflowPunct w:val="0"/>
      <w:autoSpaceDE w:val="0"/>
      <w:autoSpaceDN w:val="0"/>
      <w:adjustRightInd w:val="0"/>
      <w:ind w:left="851"/>
      <w:textAlignment w:val="baseline"/>
    </w:pPr>
  </w:style>
  <w:style w:type="paragraph" w:customStyle="1" w:styleId="INDENT2">
    <w:name w:val="INDENT2"/>
    <w:basedOn w:val="Normal"/>
    <w:rsid w:val="00B0363B"/>
    <w:pPr>
      <w:overflowPunct w:val="0"/>
      <w:autoSpaceDE w:val="0"/>
      <w:autoSpaceDN w:val="0"/>
      <w:adjustRightInd w:val="0"/>
      <w:ind w:left="1135" w:hanging="284"/>
      <w:textAlignment w:val="baseline"/>
    </w:pPr>
  </w:style>
  <w:style w:type="paragraph" w:customStyle="1" w:styleId="INDENT3">
    <w:name w:val="INDENT3"/>
    <w:basedOn w:val="Normal"/>
    <w:rsid w:val="00B0363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036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0363B"/>
    <w:pPr>
      <w:keepNext/>
      <w:keepLines/>
      <w:overflowPunct w:val="0"/>
      <w:autoSpaceDE w:val="0"/>
      <w:autoSpaceDN w:val="0"/>
      <w:adjustRightInd w:val="0"/>
      <w:textAlignment w:val="baseline"/>
    </w:pPr>
    <w:rPr>
      <w:b/>
    </w:rPr>
  </w:style>
  <w:style w:type="paragraph" w:customStyle="1" w:styleId="enumlev2">
    <w:name w:val="enumlev2"/>
    <w:basedOn w:val="Normal"/>
    <w:rsid w:val="00B036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363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0363B"/>
    <w:pPr>
      <w:overflowPunct w:val="0"/>
      <w:autoSpaceDE w:val="0"/>
      <w:autoSpaceDN w:val="0"/>
      <w:adjustRightInd w:val="0"/>
      <w:textAlignment w:val="baseline"/>
    </w:pPr>
  </w:style>
  <w:style w:type="paragraph" w:customStyle="1" w:styleId="Guidance">
    <w:name w:val="Guidance"/>
    <w:basedOn w:val="Normal"/>
    <w:rsid w:val="00B0363B"/>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0363B"/>
    <w:pPr>
      <w:overflowPunct w:val="0"/>
      <w:autoSpaceDE w:val="0"/>
      <w:autoSpaceDN w:val="0"/>
      <w:adjustRightInd w:val="0"/>
      <w:spacing w:after="220"/>
      <w:textAlignment w:val="baseline"/>
    </w:pPr>
    <w:rPr>
      <w:b/>
      <w:lang w:val="en-US"/>
    </w:rPr>
  </w:style>
  <w:style w:type="paragraph" w:customStyle="1" w:styleId="TOC91">
    <w:name w:val="TOC 91"/>
    <w:basedOn w:val="TOC8"/>
    <w:rsid w:val="00B0363B"/>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0363B"/>
    <w:rPr>
      <w:rFonts w:ascii="Arial" w:hAnsi="Arial"/>
      <w:lang w:val="en-GB"/>
    </w:rPr>
  </w:style>
  <w:style w:type="paragraph" w:customStyle="1" w:styleId="berschrift2Head2A2">
    <w:name w:val="Überschrift 2.Head2A.2"/>
    <w:basedOn w:val="Heading1"/>
    <w:next w:val="Normal"/>
    <w:rsid w:val="00B0363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0363B"/>
    <w:pPr>
      <w:spacing w:before="120"/>
      <w:outlineLvl w:val="2"/>
    </w:pPr>
    <w:rPr>
      <w:sz w:val="28"/>
      <w:lang w:eastAsia="de-DE"/>
    </w:rPr>
  </w:style>
  <w:style w:type="paragraph" w:customStyle="1" w:styleId="Reference">
    <w:name w:val="Reference"/>
    <w:basedOn w:val="Normal"/>
    <w:rsid w:val="00B0363B"/>
    <w:pPr>
      <w:tabs>
        <w:tab w:val="num" w:pos="420"/>
      </w:tabs>
      <w:spacing w:after="0"/>
      <w:ind w:left="420" w:hanging="420"/>
    </w:pPr>
  </w:style>
  <w:style w:type="paragraph" w:customStyle="1" w:styleId="Bullets">
    <w:name w:val="Bullets"/>
    <w:basedOn w:val="BodyText"/>
    <w:rsid w:val="00B0363B"/>
    <w:pPr>
      <w:widowControl w:val="0"/>
      <w:spacing w:after="120"/>
      <w:ind w:left="283" w:hanging="283"/>
    </w:pPr>
    <w:rPr>
      <w:lang w:eastAsia="de-DE"/>
    </w:rPr>
  </w:style>
  <w:style w:type="paragraph" w:styleId="BodyText">
    <w:name w:val="Body Text"/>
    <w:basedOn w:val="Normal"/>
    <w:rsid w:val="00B0363B"/>
    <w:pPr>
      <w:overflowPunct w:val="0"/>
      <w:autoSpaceDE w:val="0"/>
      <w:autoSpaceDN w:val="0"/>
      <w:adjustRightInd w:val="0"/>
      <w:textAlignment w:val="baseline"/>
    </w:pPr>
  </w:style>
  <w:style w:type="paragraph" w:customStyle="1" w:styleId="BalloonText1">
    <w:name w:val="Balloon Text1"/>
    <w:basedOn w:val="Normal"/>
    <w:semiHidden/>
    <w:rsid w:val="00B0363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0363B"/>
    <w:pPr>
      <w:spacing w:before="360" w:after="0" w:line="240" w:lineRule="atLeast"/>
      <w:jc w:val="center"/>
    </w:pPr>
    <w:rPr>
      <w:lang w:val="en-US"/>
    </w:rPr>
  </w:style>
  <w:style w:type="character" w:styleId="Emphasis">
    <w:name w:val="Emphasis"/>
    <w:qFormat/>
    <w:rsid w:val="00B0363B"/>
    <w:rPr>
      <w:i/>
      <w:iCs/>
    </w:rPr>
  </w:style>
  <w:style w:type="paragraph" w:styleId="BodyTextIndent">
    <w:name w:val="Body Text Indent"/>
    <w:basedOn w:val="Normal"/>
    <w:rsid w:val="00B0363B"/>
    <w:pPr>
      <w:ind w:leftChars="71" w:left="142"/>
    </w:pPr>
    <w:rPr>
      <w:lang w:eastAsia="ja-JP"/>
    </w:rPr>
  </w:style>
  <w:style w:type="paragraph" w:styleId="BodyTextIndent2">
    <w:name w:val="Body Text Indent 2"/>
    <w:basedOn w:val="Normal"/>
    <w:rsid w:val="00B0363B"/>
    <w:pPr>
      <w:ind w:leftChars="100" w:left="200"/>
    </w:pPr>
    <w:rPr>
      <w:lang w:eastAsia="ja-JP"/>
    </w:rPr>
  </w:style>
  <w:style w:type="paragraph" w:styleId="BalloonText">
    <w:name w:val="Balloon Text"/>
    <w:basedOn w:val="Normal"/>
    <w:semiHidden/>
    <w:rsid w:val="00B0363B"/>
    <w:rPr>
      <w:rFonts w:ascii="Arial" w:eastAsia="MS Gothic" w:hAnsi="Arial"/>
      <w:sz w:val="18"/>
      <w:szCs w:val="18"/>
    </w:rPr>
  </w:style>
  <w:style w:type="paragraph" w:styleId="BodyText2">
    <w:name w:val="Body Text 2"/>
    <w:basedOn w:val="Normal"/>
    <w:rsid w:val="00B0363B"/>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3EB50-CB07-4200-8614-979B61EA6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2028</Words>
  <Characters>10214</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KI#18 - Migration Scenarios</vt:lpstr>
      <vt:lpstr>3GPP TSG-RAN WG3 #xx</vt:lpstr>
      <vt:lpstr>3GPP TSG-RAN WG3 #xx</vt:lpstr>
    </vt:vector>
  </TitlesOfParts>
  <Company>NTT DOCOMO, Inc.</Company>
  <LinksUpToDate>false</LinksUpToDate>
  <CharactersWithSpaces>12218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KI#18 - Migration Scenarios</dc:title>
  <dc:subject>NGS migration scenarios</dc:subject>
  <dc:creator>MediaTek</dc:creator>
  <cp:keywords>EPS, NGS, Migration, Interworking, Service continuity</cp:keywords>
  <cp:lastModifiedBy>Mediatek</cp:lastModifiedBy>
  <cp:revision>11</cp:revision>
  <cp:lastPrinted>2016-06-23T21:29:00Z</cp:lastPrinted>
  <dcterms:created xsi:type="dcterms:W3CDTF">2016-07-27T02:02:00Z</dcterms:created>
  <dcterms:modified xsi:type="dcterms:W3CDTF">2016-08-23T06:43:00Z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